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257"/>
        <w:tblW w:w="12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1"/>
      </w:tblGrid>
      <w:tr w:rsidR="00670419" w:rsidRPr="00DF7ECC" w14:paraId="2019F540" w14:textId="77777777" w:rsidTr="00E60A68">
        <w:trPr>
          <w:trHeight w:val="6401"/>
        </w:trPr>
        <w:tc>
          <w:tcPr>
            <w:tcW w:w="12981" w:type="dxa"/>
            <w:tcBorders>
              <w:top w:val="single" w:sz="48" w:space="0" w:color="auto"/>
              <w:left w:val="single" w:sz="48" w:space="0" w:color="auto"/>
              <w:bottom w:val="single" w:sz="48" w:space="0" w:color="auto"/>
              <w:right w:val="single" w:sz="48" w:space="0" w:color="auto"/>
            </w:tcBorders>
            <w:shd w:val="clear" w:color="auto" w:fill="auto"/>
          </w:tcPr>
          <w:p w14:paraId="0225F0B9" w14:textId="77777777" w:rsidR="00670419" w:rsidRPr="00DF7ECC" w:rsidRDefault="00670419" w:rsidP="00DF7ECC">
            <w:pPr>
              <w:spacing w:after="0" w:line="360" w:lineRule="auto"/>
              <w:jc w:val="both"/>
              <w:rPr>
                <w:rFonts w:ascii="Arial" w:eastAsia="Calibri" w:hAnsi="Arial" w:cs="Arial"/>
                <w:b/>
                <w:kern w:val="0"/>
                <w:sz w:val="24"/>
                <w:szCs w:val="24"/>
                <w14:ligatures w14:val="none"/>
              </w:rPr>
            </w:pPr>
            <w:r w:rsidRPr="00DF7ECC">
              <w:rPr>
                <w:rFonts w:ascii="Arial" w:eastAsia="Calibri" w:hAnsi="Arial" w:cs="Arial"/>
                <w:noProof/>
                <w:kern w:val="0"/>
                <w:sz w:val="24"/>
                <w:szCs w:val="24"/>
                <w14:ligatures w14:val="none"/>
              </w:rPr>
              <w:drawing>
                <wp:anchor distT="0" distB="0" distL="114300" distR="114300" simplePos="0" relativeHeight="251659264" behindDoc="1" locked="0" layoutInCell="1" allowOverlap="1" wp14:anchorId="1EE2594A" wp14:editId="2F641F8A">
                  <wp:simplePos x="0" y="0"/>
                  <wp:positionH relativeFrom="column">
                    <wp:posOffset>5494020</wp:posOffset>
                  </wp:positionH>
                  <wp:positionV relativeFrom="paragraph">
                    <wp:posOffset>85725</wp:posOffset>
                  </wp:positionV>
                  <wp:extent cx="2447925" cy="552450"/>
                  <wp:effectExtent l="0" t="0" r="9525" b="0"/>
                  <wp:wrapTight wrapText="bothSides">
                    <wp:wrapPolygon edited="0">
                      <wp:start x="0" y="0"/>
                      <wp:lineTo x="0" y="20855"/>
                      <wp:lineTo x="21516" y="20855"/>
                      <wp:lineTo x="21516" y="0"/>
                      <wp:lineTo x="0" y="0"/>
                    </wp:wrapPolygon>
                  </wp:wrapTight>
                  <wp:docPr id="1" name="Picture 1" descr="AA_Logotyp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_Logotype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88" w:type="dxa"/>
              <w:tblLook w:val="0000" w:firstRow="0" w:lastRow="0" w:firstColumn="0" w:lastColumn="0" w:noHBand="0" w:noVBand="0"/>
            </w:tblPr>
            <w:tblGrid>
              <w:gridCol w:w="12477"/>
            </w:tblGrid>
            <w:tr w:rsidR="00670419" w:rsidRPr="00DF7ECC" w14:paraId="0C559417" w14:textId="77777777" w:rsidTr="00E16752">
              <w:trPr>
                <w:trHeight w:val="8715"/>
              </w:trPr>
              <w:tc>
                <w:tcPr>
                  <w:tcW w:w="12510" w:type="dxa"/>
                </w:tcPr>
                <w:p w14:paraId="04909199" w14:textId="77777777" w:rsidR="00670419" w:rsidRPr="00DF7ECC" w:rsidRDefault="00670419" w:rsidP="002117F8">
                  <w:pPr>
                    <w:framePr w:hSpace="180" w:wrap="around" w:vAnchor="text" w:hAnchor="text" w:y="-1257"/>
                    <w:spacing w:after="0" w:line="360" w:lineRule="auto"/>
                    <w:contextualSpacing/>
                    <w:jc w:val="both"/>
                    <w:rPr>
                      <w:rFonts w:ascii="Arial" w:eastAsia="Calibri" w:hAnsi="Arial" w:cs="Arial"/>
                      <w:b/>
                      <w:kern w:val="0"/>
                      <w:sz w:val="24"/>
                      <w:szCs w:val="24"/>
                      <w14:ligatures w14:val="none"/>
                    </w:rPr>
                  </w:pPr>
                </w:p>
                <w:p w14:paraId="2F7F7FEF" w14:textId="77777777" w:rsidR="00F513FC" w:rsidRPr="00DF7ECC" w:rsidRDefault="00F513FC" w:rsidP="002117F8">
                  <w:pPr>
                    <w:framePr w:hSpace="180" w:wrap="around" w:vAnchor="text" w:hAnchor="text" w:y="-1257"/>
                    <w:spacing w:after="0" w:line="360" w:lineRule="auto"/>
                    <w:contextualSpacing/>
                    <w:jc w:val="both"/>
                    <w:rPr>
                      <w:rFonts w:ascii="Arial" w:eastAsia="Calibri" w:hAnsi="Arial" w:cs="Arial"/>
                      <w:b/>
                      <w:kern w:val="0"/>
                      <w:sz w:val="24"/>
                      <w:szCs w:val="24"/>
                      <w14:ligatures w14:val="none"/>
                    </w:rPr>
                  </w:pPr>
                </w:p>
                <w:p w14:paraId="62695EDE" w14:textId="77777777" w:rsidR="00F513FC" w:rsidRPr="00DF7ECC" w:rsidRDefault="00F513FC" w:rsidP="002117F8">
                  <w:pPr>
                    <w:framePr w:hSpace="180" w:wrap="around" w:vAnchor="text" w:hAnchor="text" w:y="-1257"/>
                    <w:spacing w:after="0" w:line="360" w:lineRule="auto"/>
                    <w:contextualSpacing/>
                    <w:jc w:val="both"/>
                    <w:rPr>
                      <w:rFonts w:ascii="Arial" w:eastAsia="Calibri" w:hAnsi="Arial" w:cs="Arial"/>
                      <w:b/>
                      <w:kern w:val="0"/>
                      <w:sz w:val="24"/>
                      <w:szCs w:val="24"/>
                      <w14:ligatures w14:val="none"/>
                    </w:rPr>
                  </w:pPr>
                </w:p>
                <w:p w14:paraId="3A793B34" w14:textId="091C1915" w:rsidR="00670419" w:rsidRPr="00DF7ECC" w:rsidRDefault="00670419" w:rsidP="002117F8">
                  <w:pPr>
                    <w:framePr w:hSpace="180" w:wrap="around" w:vAnchor="text" w:hAnchor="text" w:y="-1257"/>
                    <w:spacing w:after="0" w:line="360" w:lineRule="auto"/>
                    <w:jc w:val="both"/>
                    <w:rPr>
                      <w:rFonts w:ascii="Arial" w:eastAsia="Times New Roman" w:hAnsi="Arial" w:cs="Arial"/>
                      <w:b/>
                      <w:color w:val="716F6E"/>
                      <w:kern w:val="0"/>
                      <w:sz w:val="24"/>
                      <w:szCs w:val="24"/>
                      <w:lang w:eastAsia="en-GB"/>
                      <w14:ligatures w14:val="none"/>
                    </w:rPr>
                  </w:pPr>
                  <w:r w:rsidRPr="00DF7ECC">
                    <w:rPr>
                      <w:rFonts w:ascii="Arial" w:eastAsia="Calibri" w:hAnsi="Arial" w:cs="Arial"/>
                      <w:b/>
                      <w:kern w:val="0"/>
                      <w:sz w:val="24"/>
                      <w:szCs w:val="24"/>
                      <w14:ligatures w14:val="none"/>
                    </w:rPr>
                    <w:t>A SUBMISSION BY ACTIONAID ZAMBIA TO THE MINISTRY OF FINANCE AND NATIONAL PLANNING ON THE</w:t>
                  </w:r>
                </w:p>
                <w:p w14:paraId="57706943" w14:textId="77777777" w:rsidR="00670419" w:rsidRPr="00DF7ECC" w:rsidRDefault="00670419" w:rsidP="002117F8">
                  <w:pPr>
                    <w:framePr w:hSpace="180" w:wrap="around" w:vAnchor="text" w:hAnchor="text" w:y="-1257"/>
                    <w:spacing w:after="200" w:line="360" w:lineRule="auto"/>
                    <w:jc w:val="both"/>
                    <w:rPr>
                      <w:rFonts w:ascii="Arial" w:eastAsia="Calibri" w:hAnsi="Arial" w:cs="Arial"/>
                      <w:b/>
                      <w:kern w:val="0"/>
                      <w:sz w:val="24"/>
                      <w:szCs w:val="24"/>
                      <w14:ligatures w14:val="none"/>
                    </w:rPr>
                  </w:pPr>
                </w:p>
                <w:p w14:paraId="57E11560" w14:textId="0D963BC1" w:rsidR="00670419" w:rsidRPr="00DF7ECC" w:rsidRDefault="00DF7ECC" w:rsidP="002117F8">
                  <w:pPr>
                    <w:framePr w:hSpace="180" w:wrap="around" w:vAnchor="text" w:hAnchor="text" w:y="-1257"/>
                    <w:spacing w:after="200" w:line="360" w:lineRule="auto"/>
                    <w:jc w:val="both"/>
                    <w:rPr>
                      <w:rFonts w:ascii="Arial" w:eastAsia="Calibri" w:hAnsi="Arial" w:cs="Arial"/>
                      <w:b/>
                      <w:kern w:val="0"/>
                      <w:sz w:val="24"/>
                      <w:szCs w:val="24"/>
                      <w14:ligatures w14:val="none"/>
                    </w:rPr>
                  </w:pPr>
                  <w:bookmarkStart w:id="0" w:name="_Hlk136333373"/>
                  <w:r>
                    <w:rPr>
                      <w:rFonts w:ascii="Arial" w:eastAsia="Calibri" w:hAnsi="Arial" w:cs="Arial"/>
                      <w:b/>
                      <w:kern w:val="0"/>
                      <w:sz w:val="24"/>
                      <w:szCs w:val="24"/>
                      <w14:ligatures w14:val="none"/>
                    </w:rPr>
                    <w:t xml:space="preserve">REVENUE AND </w:t>
                  </w:r>
                  <w:r w:rsidR="00340233">
                    <w:rPr>
                      <w:rFonts w:ascii="Arial" w:eastAsia="Calibri" w:hAnsi="Arial" w:cs="Arial"/>
                      <w:b/>
                      <w:kern w:val="0"/>
                      <w:sz w:val="24"/>
                      <w:szCs w:val="24"/>
                      <w14:ligatures w14:val="none"/>
                    </w:rPr>
                    <w:t>NON-REVENUE</w:t>
                  </w:r>
                  <w:r>
                    <w:rPr>
                      <w:rFonts w:ascii="Arial" w:eastAsia="Calibri" w:hAnsi="Arial" w:cs="Arial"/>
                      <w:b/>
                      <w:kern w:val="0"/>
                      <w:sz w:val="24"/>
                      <w:szCs w:val="24"/>
                      <w14:ligatures w14:val="none"/>
                    </w:rPr>
                    <w:t xml:space="preserve"> MEASURES </w:t>
                  </w:r>
                  <w:r w:rsidRPr="00DF7ECC">
                    <w:rPr>
                      <w:rFonts w:ascii="Arial" w:eastAsia="Calibri" w:hAnsi="Arial" w:cs="Arial"/>
                      <w:b/>
                      <w:kern w:val="0"/>
                      <w:sz w:val="24"/>
                      <w:szCs w:val="24"/>
                      <w14:ligatures w14:val="none"/>
                    </w:rPr>
                    <w:t>FOR</w:t>
                  </w:r>
                  <w:r w:rsidR="00670419" w:rsidRPr="00DF7ECC">
                    <w:rPr>
                      <w:rFonts w:ascii="Arial" w:eastAsia="Calibri" w:hAnsi="Arial" w:cs="Arial"/>
                      <w:b/>
                      <w:kern w:val="0"/>
                      <w:sz w:val="24"/>
                      <w:szCs w:val="24"/>
                      <w14:ligatures w14:val="none"/>
                    </w:rPr>
                    <w:t xml:space="preserve"> THE </w:t>
                  </w:r>
                  <w:r>
                    <w:rPr>
                      <w:rFonts w:ascii="Arial" w:eastAsia="Calibri" w:hAnsi="Arial" w:cs="Arial"/>
                      <w:b/>
                      <w:kern w:val="0"/>
                      <w:sz w:val="24"/>
                      <w:szCs w:val="24"/>
                      <w14:ligatures w14:val="none"/>
                    </w:rPr>
                    <w:t xml:space="preserve">2024 NATIONAL BUDGET </w:t>
                  </w:r>
                </w:p>
                <w:bookmarkEnd w:id="0"/>
                <w:p w14:paraId="7CA2F78F" w14:textId="77777777" w:rsidR="00670419" w:rsidRPr="00DF7ECC" w:rsidRDefault="00670419" w:rsidP="002117F8">
                  <w:pPr>
                    <w:framePr w:hSpace="180" w:wrap="around" w:vAnchor="text" w:hAnchor="text" w:y="-1257"/>
                    <w:tabs>
                      <w:tab w:val="left" w:pos="4875"/>
                    </w:tabs>
                    <w:spacing w:after="200" w:line="360" w:lineRule="auto"/>
                    <w:jc w:val="both"/>
                    <w:rPr>
                      <w:rFonts w:ascii="Arial" w:eastAsia="Calibri" w:hAnsi="Arial" w:cs="Arial"/>
                      <w:b/>
                      <w:kern w:val="0"/>
                      <w:sz w:val="24"/>
                      <w:szCs w:val="24"/>
                      <w14:ligatures w14:val="none"/>
                    </w:rPr>
                  </w:pPr>
                </w:p>
                <w:p w14:paraId="13003179" w14:textId="071D8DD7" w:rsidR="00670419" w:rsidRPr="00DF7ECC" w:rsidRDefault="00670419" w:rsidP="002117F8">
                  <w:pPr>
                    <w:framePr w:hSpace="180" w:wrap="around" w:vAnchor="text" w:hAnchor="text" w:y="-1257"/>
                    <w:tabs>
                      <w:tab w:val="left" w:pos="4875"/>
                    </w:tabs>
                    <w:spacing w:after="200" w:line="360" w:lineRule="auto"/>
                    <w:jc w:val="both"/>
                    <w:rPr>
                      <w:rFonts w:ascii="Arial" w:eastAsia="Calibri" w:hAnsi="Arial" w:cs="Arial"/>
                      <w:b/>
                      <w:kern w:val="0"/>
                      <w:sz w:val="24"/>
                      <w:szCs w:val="24"/>
                      <w14:ligatures w14:val="none"/>
                    </w:rPr>
                  </w:pPr>
                  <w:r w:rsidRPr="00DF7ECC">
                    <w:rPr>
                      <w:rFonts w:ascii="Arial" w:eastAsia="Calibri" w:hAnsi="Arial" w:cs="Arial"/>
                      <w:b/>
                      <w:kern w:val="0"/>
                      <w:sz w:val="24"/>
                      <w:szCs w:val="24"/>
                      <w14:ligatures w14:val="none"/>
                    </w:rPr>
                    <w:t>30</w:t>
                  </w:r>
                  <w:r w:rsidRPr="00DF7ECC">
                    <w:rPr>
                      <w:rFonts w:ascii="Arial" w:eastAsia="Calibri" w:hAnsi="Arial" w:cs="Arial"/>
                      <w:b/>
                      <w:kern w:val="0"/>
                      <w:sz w:val="24"/>
                      <w:szCs w:val="24"/>
                      <w:vertAlign w:val="superscript"/>
                      <w14:ligatures w14:val="none"/>
                    </w:rPr>
                    <w:t>th</w:t>
                  </w:r>
                  <w:r w:rsidRPr="00DF7ECC">
                    <w:rPr>
                      <w:rFonts w:ascii="Arial" w:eastAsia="Calibri" w:hAnsi="Arial" w:cs="Arial"/>
                      <w:b/>
                      <w:kern w:val="0"/>
                      <w:sz w:val="24"/>
                      <w:szCs w:val="24"/>
                      <w14:ligatures w14:val="none"/>
                    </w:rPr>
                    <w:t xml:space="preserve"> </w:t>
                  </w:r>
                  <w:proofErr w:type="gramStart"/>
                  <w:r w:rsidRPr="00DF7ECC">
                    <w:rPr>
                      <w:rFonts w:ascii="Arial" w:eastAsia="Calibri" w:hAnsi="Arial" w:cs="Arial"/>
                      <w:b/>
                      <w:kern w:val="0"/>
                      <w:sz w:val="24"/>
                      <w:szCs w:val="24"/>
                      <w14:ligatures w14:val="none"/>
                    </w:rPr>
                    <w:t>May,</w:t>
                  </w:r>
                  <w:proofErr w:type="gramEnd"/>
                  <w:r w:rsidRPr="00DF7ECC">
                    <w:rPr>
                      <w:rFonts w:ascii="Arial" w:eastAsia="Calibri" w:hAnsi="Arial" w:cs="Arial"/>
                      <w:b/>
                      <w:kern w:val="0"/>
                      <w:sz w:val="24"/>
                      <w:szCs w:val="24"/>
                      <w14:ligatures w14:val="none"/>
                    </w:rPr>
                    <w:t xml:space="preserve"> 2023</w:t>
                  </w:r>
                </w:p>
                <w:p w14:paraId="0976A0A3" w14:textId="77777777" w:rsidR="00670419" w:rsidRPr="00DF7ECC" w:rsidRDefault="00670419" w:rsidP="002117F8">
                  <w:pPr>
                    <w:framePr w:hSpace="180" w:wrap="around" w:vAnchor="text" w:hAnchor="text" w:y="-1257"/>
                    <w:tabs>
                      <w:tab w:val="left" w:pos="4875"/>
                    </w:tabs>
                    <w:spacing w:after="0" w:line="360" w:lineRule="auto"/>
                    <w:jc w:val="both"/>
                    <w:rPr>
                      <w:rFonts w:ascii="Arial" w:eastAsia="Calibri" w:hAnsi="Arial" w:cs="Arial"/>
                      <w:b/>
                      <w:kern w:val="0"/>
                      <w:sz w:val="24"/>
                      <w:szCs w:val="24"/>
                      <w:u w:val="single"/>
                      <w14:ligatures w14:val="none"/>
                    </w:rPr>
                  </w:pPr>
                  <w:r w:rsidRPr="00DF7ECC">
                    <w:rPr>
                      <w:rFonts w:ascii="Arial" w:eastAsia="Calibri" w:hAnsi="Arial" w:cs="Arial"/>
                      <w:b/>
                      <w:kern w:val="0"/>
                      <w:sz w:val="24"/>
                      <w:szCs w:val="24"/>
                      <w:u w:val="single"/>
                      <w14:ligatures w14:val="none"/>
                    </w:rPr>
                    <w:t xml:space="preserve">Contact: </w:t>
                  </w:r>
                </w:p>
                <w:p w14:paraId="26FD511A" w14:textId="77777777" w:rsidR="00670419" w:rsidRPr="00DF7ECC" w:rsidRDefault="00670419" w:rsidP="002117F8">
                  <w:pPr>
                    <w:framePr w:hSpace="180" w:wrap="around" w:vAnchor="text" w:hAnchor="text" w:y="-1257"/>
                    <w:tabs>
                      <w:tab w:val="left" w:pos="4875"/>
                    </w:tabs>
                    <w:spacing w:after="0" w:line="360" w:lineRule="auto"/>
                    <w:jc w:val="both"/>
                    <w:rPr>
                      <w:rFonts w:ascii="Arial" w:eastAsia="Calibri" w:hAnsi="Arial" w:cs="Arial"/>
                      <w:kern w:val="0"/>
                      <w:sz w:val="24"/>
                      <w:szCs w:val="24"/>
                      <w14:ligatures w14:val="none"/>
                    </w:rPr>
                  </w:pPr>
                  <w:r w:rsidRPr="00DF7ECC">
                    <w:rPr>
                      <w:rFonts w:ascii="Arial" w:eastAsia="Calibri" w:hAnsi="Arial" w:cs="Arial"/>
                      <w:kern w:val="0"/>
                      <w:sz w:val="24"/>
                      <w:szCs w:val="24"/>
                      <w14:ligatures w14:val="none"/>
                    </w:rPr>
                    <w:t xml:space="preserve">Country Director   </w:t>
                  </w:r>
                </w:p>
                <w:p w14:paraId="5F1D1BA6" w14:textId="77777777" w:rsidR="00670419" w:rsidRPr="00DF7ECC" w:rsidRDefault="00670419" w:rsidP="002117F8">
                  <w:pPr>
                    <w:framePr w:hSpace="180" w:wrap="around" w:vAnchor="text" w:hAnchor="text" w:y="-1257"/>
                    <w:tabs>
                      <w:tab w:val="left" w:pos="4875"/>
                    </w:tabs>
                    <w:spacing w:after="0" w:line="360" w:lineRule="auto"/>
                    <w:jc w:val="both"/>
                    <w:rPr>
                      <w:rFonts w:ascii="Arial" w:eastAsia="Calibri" w:hAnsi="Arial" w:cs="Arial"/>
                      <w:kern w:val="0"/>
                      <w:sz w:val="24"/>
                      <w:szCs w:val="24"/>
                      <w14:ligatures w14:val="none"/>
                    </w:rPr>
                  </w:pPr>
                  <w:r w:rsidRPr="00DF7ECC">
                    <w:rPr>
                      <w:rFonts w:ascii="Arial" w:eastAsia="Calibri" w:hAnsi="Arial" w:cs="Arial"/>
                      <w:kern w:val="0"/>
                      <w:sz w:val="24"/>
                      <w:szCs w:val="24"/>
                      <w14:ligatures w14:val="none"/>
                    </w:rPr>
                    <w:t>P.O Box 51407</w:t>
                  </w:r>
                </w:p>
                <w:p w14:paraId="7ABA9AE6" w14:textId="77777777" w:rsidR="00670419" w:rsidRPr="00DF7ECC" w:rsidRDefault="00670419" w:rsidP="002117F8">
                  <w:pPr>
                    <w:framePr w:hSpace="180" w:wrap="around" w:vAnchor="text" w:hAnchor="text" w:y="-1257"/>
                    <w:tabs>
                      <w:tab w:val="left" w:pos="4875"/>
                    </w:tabs>
                    <w:spacing w:after="0" w:line="360" w:lineRule="auto"/>
                    <w:jc w:val="both"/>
                    <w:rPr>
                      <w:rFonts w:ascii="Arial" w:eastAsia="Calibri" w:hAnsi="Arial" w:cs="Arial"/>
                      <w:kern w:val="0"/>
                      <w:sz w:val="24"/>
                      <w:szCs w:val="24"/>
                      <w14:ligatures w14:val="none"/>
                    </w:rPr>
                  </w:pPr>
                  <w:r w:rsidRPr="00DF7ECC">
                    <w:rPr>
                      <w:rFonts w:ascii="Arial" w:eastAsia="Calibri" w:hAnsi="Arial" w:cs="Arial"/>
                      <w:kern w:val="0"/>
                      <w:sz w:val="24"/>
                      <w:szCs w:val="24"/>
                      <w14:ligatures w14:val="none"/>
                    </w:rPr>
                    <w:t>Lusaka</w:t>
                  </w:r>
                </w:p>
                <w:p w14:paraId="63D56376" w14:textId="77777777" w:rsidR="00670419" w:rsidRPr="00DF7ECC" w:rsidRDefault="00670419" w:rsidP="002117F8">
                  <w:pPr>
                    <w:framePr w:hSpace="180" w:wrap="around" w:vAnchor="text" w:hAnchor="text" w:y="-1257"/>
                    <w:tabs>
                      <w:tab w:val="left" w:pos="4875"/>
                    </w:tabs>
                    <w:spacing w:after="0" w:line="360" w:lineRule="auto"/>
                    <w:jc w:val="both"/>
                    <w:rPr>
                      <w:rFonts w:ascii="Arial" w:eastAsia="Calibri" w:hAnsi="Arial" w:cs="Arial"/>
                      <w:b/>
                      <w:kern w:val="0"/>
                      <w:sz w:val="24"/>
                      <w:szCs w:val="24"/>
                      <w14:ligatures w14:val="none"/>
                    </w:rPr>
                  </w:pPr>
                  <w:r w:rsidRPr="00DF7ECC">
                    <w:rPr>
                      <w:rFonts w:ascii="Arial" w:eastAsia="Calibri" w:hAnsi="Arial" w:cs="Arial"/>
                      <w:kern w:val="0"/>
                      <w:sz w:val="24"/>
                      <w:szCs w:val="24"/>
                      <w14:ligatures w14:val="none"/>
                    </w:rPr>
                    <w:t>Cell: 0977616899</w:t>
                  </w:r>
                </w:p>
              </w:tc>
            </w:tr>
          </w:tbl>
          <w:p w14:paraId="4A1EF140" w14:textId="77777777" w:rsidR="00670419" w:rsidRPr="00DF7ECC" w:rsidRDefault="00670419" w:rsidP="00DF7ECC">
            <w:pPr>
              <w:keepNext/>
              <w:keepLines/>
              <w:spacing w:before="480" w:after="0" w:line="360" w:lineRule="auto"/>
              <w:jc w:val="both"/>
              <w:outlineLvl w:val="0"/>
              <w:rPr>
                <w:rFonts w:ascii="Arial" w:eastAsia="Times New Roman" w:hAnsi="Arial" w:cs="Arial"/>
                <w:b/>
                <w:bCs/>
                <w:color w:val="365F91"/>
                <w:kern w:val="0"/>
                <w:sz w:val="24"/>
                <w:szCs w:val="24"/>
                <w14:ligatures w14:val="none"/>
              </w:rPr>
            </w:pPr>
          </w:p>
        </w:tc>
      </w:tr>
    </w:tbl>
    <w:p w14:paraId="3FCEBB8A" w14:textId="77777777" w:rsidR="00670419" w:rsidRPr="00DF7ECC" w:rsidRDefault="00670419" w:rsidP="00DF7ECC">
      <w:pPr>
        <w:jc w:val="both"/>
        <w:rPr>
          <w:rFonts w:ascii="Arial" w:hAnsi="Arial" w:cs="Arial"/>
          <w:b/>
          <w:bCs/>
          <w:color w:val="000000" w:themeColor="text1"/>
          <w:sz w:val="24"/>
          <w:szCs w:val="24"/>
        </w:rPr>
      </w:pPr>
    </w:p>
    <w:p w14:paraId="57431036" w14:textId="77777777" w:rsidR="00E60A68" w:rsidRPr="00DF7ECC" w:rsidRDefault="00E60A68" w:rsidP="00DF7ECC">
      <w:pPr>
        <w:jc w:val="both"/>
        <w:rPr>
          <w:rFonts w:ascii="Arial" w:hAnsi="Arial" w:cs="Arial"/>
          <w:b/>
          <w:color w:val="000000" w:themeColor="text1"/>
          <w:sz w:val="24"/>
          <w:szCs w:val="24"/>
        </w:rPr>
      </w:pPr>
    </w:p>
    <w:p w14:paraId="06DFF5AF" w14:textId="77777777" w:rsidR="00E60A68" w:rsidRPr="00DF7ECC" w:rsidRDefault="00E60A68" w:rsidP="00DF7ECC">
      <w:pPr>
        <w:jc w:val="both"/>
        <w:rPr>
          <w:rFonts w:ascii="Arial" w:hAnsi="Arial" w:cs="Arial"/>
          <w:b/>
          <w:color w:val="000000" w:themeColor="text1"/>
          <w:sz w:val="24"/>
          <w:szCs w:val="24"/>
        </w:rPr>
      </w:pPr>
    </w:p>
    <w:p w14:paraId="490D8F67" w14:textId="77777777" w:rsidR="00E60A68" w:rsidRPr="00DF7ECC" w:rsidRDefault="00E60A68" w:rsidP="00DF7ECC">
      <w:pPr>
        <w:jc w:val="both"/>
        <w:rPr>
          <w:rFonts w:ascii="Arial" w:hAnsi="Arial" w:cs="Arial"/>
          <w:b/>
          <w:color w:val="000000" w:themeColor="text1"/>
          <w:sz w:val="24"/>
          <w:szCs w:val="24"/>
        </w:rPr>
      </w:pPr>
    </w:p>
    <w:p w14:paraId="3599AB17" w14:textId="77777777" w:rsidR="00E60A68" w:rsidRPr="00DF7ECC" w:rsidRDefault="00E60A68" w:rsidP="00DF7ECC">
      <w:pPr>
        <w:jc w:val="both"/>
        <w:rPr>
          <w:rFonts w:ascii="Arial" w:hAnsi="Arial" w:cs="Arial"/>
          <w:b/>
          <w:color w:val="000000" w:themeColor="text1"/>
          <w:sz w:val="24"/>
          <w:szCs w:val="24"/>
        </w:rPr>
      </w:pPr>
    </w:p>
    <w:p w14:paraId="78341A16" w14:textId="77777777" w:rsidR="00E60A68" w:rsidRPr="00DF7ECC" w:rsidRDefault="00E60A68" w:rsidP="00DF7ECC">
      <w:pPr>
        <w:jc w:val="both"/>
        <w:rPr>
          <w:rFonts w:ascii="Arial" w:hAnsi="Arial" w:cs="Arial"/>
          <w:b/>
          <w:color w:val="000000" w:themeColor="text1"/>
          <w:sz w:val="24"/>
          <w:szCs w:val="24"/>
        </w:rPr>
      </w:pPr>
    </w:p>
    <w:p w14:paraId="158E2217" w14:textId="77777777" w:rsidR="00E60A68" w:rsidRPr="00DF7ECC" w:rsidRDefault="00E60A68" w:rsidP="00DF7ECC">
      <w:pPr>
        <w:jc w:val="both"/>
        <w:rPr>
          <w:rFonts w:ascii="Arial" w:hAnsi="Arial" w:cs="Arial"/>
          <w:b/>
          <w:color w:val="000000" w:themeColor="text1"/>
          <w:sz w:val="24"/>
          <w:szCs w:val="24"/>
        </w:rPr>
      </w:pPr>
    </w:p>
    <w:p w14:paraId="4F154D5E" w14:textId="77777777" w:rsidR="00E60A68" w:rsidRPr="00DF7ECC" w:rsidRDefault="00E60A68" w:rsidP="00DF7ECC">
      <w:pPr>
        <w:jc w:val="both"/>
        <w:rPr>
          <w:rFonts w:ascii="Arial" w:hAnsi="Arial" w:cs="Arial"/>
          <w:b/>
          <w:color w:val="000000" w:themeColor="text1"/>
          <w:sz w:val="24"/>
          <w:szCs w:val="24"/>
        </w:rPr>
      </w:pPr>
    </w:p>
    <w:p w14:paraId="72DB0EEE" w14:textId="77777777" w:rsidR="00E60A68" w:rsidRPr="00DF7ECC" w:rsidRDefault="00E60A68" w:rsidP="00DF7ECC">
      <w:pPr>
        <w:jc w:val="both"/>
        <w:rPr>
          <w:rFonts w:ascii="Arial" w:hAnsi="Arial" w:cs="Arial"/>
          <w:color w:val="000000" w:themeColor="text1"/>
          <w:sz w:val="24"/>
          <w:szCs w:val="24"/>
        </w:rPr>
      </w:pPr>
    </w:p>
    <w:p w14:paraId="0E4A2CBF" w14:textId="77777777" w:rsidR="00E60A68" w:rsidRPr="00DF7ECC" w:rsidRDefault="00E60A68" w:rsidP="00DF7ECC">
      <w:pPr>
        <w:jc w:val="both"/>
        <w:rPr>
          <w:rFonts w:ascii="Arial" w:hAnsi="Arial" w:cs="Arial"/>
          <w:color w:val="000000" w:themeColor="text1"/>
          <w:sz w:val="24"/>
          <w:szCs w:val="24"/>
        </w:rPr>
      </w:pPr>
    </w:p>
    <w:p w14:paraId="6BE9D0E0" w14:textId="77777777" w:rsidR="00E60A68" w:rsidRPr="00DF7ECC" w:rsidRDefault="00E60A68" w:rsidP="00DF7ECC">
      <w:pPr>
        <w:jc w:val="both"/>
        <w:rPr>
          <w:rFonts w:ascii="Arial" w:hAnsi="Arial" w:cs="Arial"/>
          <w:color w:val="000000" w:themeColor="text1"/>
          <w:sz w:val="24"/>
          <w:szCs w:val="24"/>
        </w:rPr>
      </w:pPr>
    </w:p>
    <w:p w14:paraId="6AB87EF7" w14:textId="77777777" w:rsidR="00E60A68" w:rsidRPr="00DF7ECC" w:rsidRDefault="00E60A68" w:rsidP="00DF7ECC">
      <w:pPr>
        <w:jc w:val="both"/>
        <w:rPr>
          <w:rFonts w:ascii="Arial" w:hAnsi="Arial" w:cs="Arial"/>
          <w:color w:val="000000" w:themeColor="text1"/>
          <w:sz w:val="24"/>
          <w:szCs w:val="24"/>
        </w:rPr>
      </w:pPr>
    </w:p>
    <w:p w14:paraId="68C8DD5A" w14:textId="77777777" w:rsidR="00E60A68" w:rsidRPr="00DF7ECC" w:rsidRDefault="00E60A68" w:rsidP="00DF7ECC">
      <w:pPr>
        <w:jc w:val="both"/>
        <w:rPr>
          <w:rFonts w:ascii="Arial" w:hAnsi="Arial" w:cs="Arial"/>
          <w:color w:val="000000" w:themeColor="text1"/>
          <w:sz w:val="24"/>
          <w:szCs w:val="24"/>
        </w:rPr>
      </w:pPr>
    </w:p>
    <w:p w14:paraId="5126F300" w14:textId="77777777" w:rsidR="00E60A68" w:rsidRPr="00DF7ECC" w:rsidRDefault="00E60A68" w:rsidP="00DF7ECC">
      <w:pPr>
        <w:jc w:val="both"/>
        <w:rPr>
          <w:rFonts w:ascii="Arial" w:hAnsi="Arial" w:cs="Arial"/>
          <w:color w:val="000000" w:themeColor="text1"/>
          <w:sz w:val="24"/>
          <w:szCs w:val="24"/>
        </w:rPr>
      </w:pPr>
    </w:p>
    <w:p w14:paraId="1DE41FF3" w14:textId="77777777" w:rsidR="00E60A68" w:rsidRPr="00DF7ECC" w:rsidRDefault="00E60A68" w:rsidP="00DF7ECC">
      <w:pPr>
        <w:jc w:val="both"/>
        <w:rPr>
          <w:rFonts w:ascii="Arial" w:hAnsi="Arial" w:cs="Arial"/>
          <w:color w:val="000000" w:themeColor="text1"/>
          <w:sz w:val="24"/>
          <w:szCs w:val="24"/>
        </w:rPr>
      </w:pPr>
    </w:p>
    <w:p w14:paraId="0DE58E34" w14:textId="77777777" w:rsidR="00E60A68" w:rsidRPr="00DF7ECC" w:rsidRDefault="00E60A68" w:rsidP="00DF7ECC">
      <w:pPr>
        <w:jc w:val="both"/>
        <w:rPr>
          <w:rFonts w:ascii="Arial" w:hAnsi="Arial" w:cs="Arial"/>
          <w:color w:val="000000" w:themeColor="text1"/>
          <w:sz w:val="24"/>
          <w:szCs w:val="24"/>
        </w:rPr>
      </w:pPr>
    </w:p>
    <w:p w14:paraId="4F0BA736" w14:textId="77777777" w:rsidR="00E60A68" w:rsidRPr="00DF7ECC" w:rsidRDefault="00E60A68" w:rsidP="00DF7ECC">
      <w:pPr>
        <w:jc w:val="both"/>
        <w:rPr>
          <w:rFonts w:ascii="Arial" w:hAnsi="Arial" w:cs="Arial"/>
          <w:color w:val="000000" w:themeColor="text1"/>
          <w:sz w:val="24"/>
          <w:szCs w:val="24"/>
        </w:rPr>
      </w:pPr>
    </w:p>
    <w:p w14:paraId="3A8D0C46" w14:textId="77777777" w:rsidR="00E60A68" w:rsidRPr="00DF7ECC" w:rsidRDefault="00E60A68" w:rsidP="00DF7ECC">
      <w:pPr>
        <w:jc w:val="both"/>
        <w:rPr>
          <w:rFonts w:ascii="Arial" w:hAnsi="Arial" w:cs="Arial"/>
          <w:b/>
          <w:color w:val="000000" w:themeColor="text1"/>
          <w:sz w:val="24"/>
          <w:szCs w:val="24"/>
        </w:rPr>
      </w:pPr>
      <w:r w:rsidRPr="00DF7ECC">
        <w:rPr>
          <w:rFonts w:ascii="Arial" w:hAnsi="Arial" w:cs="Arial"/>
          <w:b/>
          <w:color w:val="000000" w:themeColor="text1"/>
          <w:sz w:val="24"/>
          <w:szCs w:val="24"/>
        </w:rPr>
        <w:t>CONTEXT</w:t>
      </w:r>
    </w:p>
    <w:p w14:paraId="6CD06CF3" w14:textId="0D1A8F46" w:rsidR="005A23CE" w:rsidRPr="00DF7ECC" w:rsidRDefault="001B346C" w:rsidP="00DF7ECC">
      <w:pPr>
        <w:jc w:val="both"/>
        <w:rPr>
          <w:rFonts w:ascii="Arial" w:hAnsi="Arial" w:cs="Arial"/>
          <w:color w:val="000000" w:themeColor="text1"/>
          <w:sz w:val="24"/>
          <w:szCs w:val="24"/>
        </w:rPr>
      </w:pPr>
      <w:r w:rsidRPr="00DF7ECC">
        <w:rPr>
          <w:rFonts w:ascii="Arial" w:hAnsi="Arial" w:cs="Arial"/>
          <w:color w:val="000000" w:themeColor="text1"/>
          <w:sz w:val="24"/>
          <w:szCs w:val="24"/>
        </w:rPr>
        <w:lastRenderedPageBreak/>
        <w:t>The Zambian economy over the past year has remained relatively stable with inflation and economic growth moving from 4.2 percent in 2022 to a projected 3.7 percent</w:t>
      </w:r>
      <w:r w:rsidR="005A23CE" w:rsidRPr="00DF7ECC">
        <w:rPr>
          <w:rFonts w:ascii="Arial" w:hAnsi="Arial" w:cs="Arial"/>
          <w:color w:val="000000" w:themeColor="text1"/>
          <w:sz w:val="24"/>
          <w:szCs w:val="24"/>
        </w:rPr>
        <w:t xml:space="preserve"> in 2023</w:t>
      </w:r>
      <w:r w:rsidRPr="00DF7ECC">
        <w:rPr>
          <w:rFonts w:ascii="Arial" w:hAnsi="Arial" w:cs="Arial"/>
          <w:color w:val="000000" w:themeColor="text1"/>
          <w:sz w:val="24"/>
          <w:szCs w:val="24"/>
        </w:rPr>
        <w:t xml:space="preserve">. </w:t>
      </w:r>
      <w:proofErr w:type="gramStart"/>
      <w:r w:rsidRPr="00DF7ECC">
        <w:rPr>
          <w:rFonts w:ascii="Arial" w:hAnsi="Arial" w:cs="Arial"/>
          <w:color w:val="000000" w:themeColor="text1"/>
          <w:sz w:val="24"/>
          <w:szCs w:val="24"/>
        </w:rPr>
        <w:t>In light of</w:t>
      </w:r>
      <w:proofErr w:type="gramEnd"/>
      <w:r w:rsidRPr="00DF7ECC">
        <w:rPr>
          <w:rFonts w:ascii="Arial" w:hAnsi="Arial" w:cs="Arial"/>
          <w:color w:val="000000" w:themeColor="text1"/>
          <w:sz w:val="24"/>
          <w:szCs w:val="24"/>
        </w:rPr>
        <w:t xml:space="preserve"> the challenging public debt situation and subsequent IMF support, fiscal consolidation has been the approach used by the Government to regain debt sustainability and achieve long-term growth for Zambia.</w:t>
      </w:r>
    </w:p>
    <w:p w14:paraId="7F40B237" w14:textId="33CFE7F7" w:rsidR="001B346C" w:rsidRPr="00DF7ECC" w:rsidRDefault="001B346C" w:rsidP="00DF7ECC">
      <w:pPr>
        <w:jc w:val="both"/>
        <w:rPr>
          <w:rFonts w:ascii="Arial" w:hAnsi="Arial" w:cs="Arial"/>
          <w:color w:val="000000" w:themeColor="text1"/>
          <w:sz w:val="24"/>
          <w:szCs w:val="24"/>
        </w:rPr>
      </w:pPr>
      <w:r w:rsidRPr="00DF7ECC">
        <w:rPr>
          <w:rFonts w:ascii="Arial" w:hAnsi="Arial" w:cs="Arial"/>
          <w:color w:val="000000" w:themeColor="text1"/>
          <w:sz w:val="24"/>
          <w:szCs w:val="24"/>
        </w:rPr>
        <w:t xml:space="preserve">This entails significant expenditure cuts – particularly on infrastructure and enhanced </w:t>
      </w:r>
      <w:r w:rsidR="005A23CE" w:rsidRPr="00DF7ECC">
        <w:rPr>
          <w:rFonts w:ascii="Arial" w:hAnsi="Arial" w:cs="Arial"/>
          <w:color w:val="000000" w:themeColor="text1"/>
          <w:sz w:val="24"/>
          <w:szCs w:val="24"/>
        </w:rPr>
        <w:t>D</w:t>
      </w:r>
      <w:r w:rsidRPr="00DF7ECC">
        <w:rPr>
          <w:rFonts w:ascii="Arial" w:hAnsi="Arial" w:cs="Arial"/>
          <w:color w:val="000000" w:themeColor="text1"/>
          <w:sz w:val="24"/>
          <w:szCs w:val="24"/>
        </w:rPr>
        <w:t xml:space="preserve">omestic </w:t>
      </w:r>
      <w:r w:rsidR="005A23CE" w:rsidRPr="00DF7ECC">
        <w:rPr>
          <w:rFonts w:ascii="Arial" w:hAnsi="Arial" w:cs="Arial"/>
          <w:color w:val="000000" w:themeColor="text1"/>
          <w:sz w:val="24"/>
          <w:szCs w:val="24"/>
        </w:rPr>
        <w:t>R</w:t>
      </w:r>
      <w:r w:rsidRPr="00DF7ECC">
        <w:rPr>
          <w:rFonts w:ascii="Arial" w:hAnsi="Arial" w:cs="Arial"/>
          <w:color w:val="000000" w:themeColor="text1"/>
          <w:sz w:val="24"/>
          <w:szCs w:val="24"/>
        </w:rPr>
        <w:t xml:space="preserve">esource </w:t>
      </w:r>
      <w:r w:rsidR="005A23CE" w:rsidRPr="00DF7ECC">
        <w:rPr>
          <w:rFonts w:ascii="Arial" w:hAnsi="Arial" w:cs="Arial"/>
          <w:color w:val="000000" w:themeColor="text1"/>
          <w:sz w:val="24"/>
          <w:szCs w:val="24"/>
        </w:rPr>
        <w:t>M</w:t>
      </w:r>
      <w:r w:rsidRPr="00DF7ECC">
        <w:rPr>
          <w:rFonts w:ascii="Arial" w:hAnsi="Arial" w:cs="Arial"/>
          <w:color w:val="000000" w:themeColor="text1"/>
          <w:sz w:val="24"/>
          <w:szCs w:val="24"/>
        </w:rPr>
        <w:t xml:space="preserve">obilization (DRM) through tax and non-tax measures. </w:t>
      </w:r>
    </w:p>
    <w:p w14:paraId="58035636" w14:textId="77777777" w:rsidR="005A23CE" w:rsidRPr="00DF7ECC" w:rsidRDefault="001B346C" w:rsidP="00DF7ECC">
      <w:pPr>
        <w:jc w:val="both"/>
        <w:rPr>
          <w:rFonts w:ascii="Arial" w:hAnsi="Arial" w:cs="Arial"/>
          <w:color w:val="000000" w:themeColor="text1"/>
          <w:sz w:val="24"/>
          <w:szCs w:val="24"/>
        </w:rPr>
      </w:pPr>
      <w:r w:rsidRPr="00DF7ECC">
        <w:rPr>
          <w:rFonts w:ascii="Arial" w:hAnsi="Arial" w:cs="Arial"/>
          <w:color w:val="000000" w:themeColor="text1"/>
          <w:sz w:val="24"/>
          <w:szCs w:val="24"/>
        </w:rPr>
        <w:t>In this approach, policy changes come with both threats and opportunities for the government and the citizenry.</w:t>
      </w:r>
    </w:p>
    <w:p w14:paraId="7001E2A3" w14:textId="48944A04" w:rsidR="001B346C" w:rsidRPr="00DF7ECC" w:rsidRDefault="005A23CE" w:rsidP="00DF7ECC">
      <w:pPr>
        <w:jc w:val="both"/>
        <w:rPr>
          <w:rFonts w:ascii="Arial" w:hAnsi="Arial" w:cs="Arial"/>
          <w:color w:val="000000" w:themeColor="text1"/>
          <w:sz w:val="24"/>
          <w:szCs w:val="24"/>
        </w:rPr>
      </w:pPr>
      <w:r w:rsidRPr="00DF7ECC">
        <w:rPr>
          <w:rFonts w:ascii="Arial" w:hAnsi="Arial" w:cs="Arial"/>
          <w:color w:val="000000" w:themeColor="text1"/>
          <w:sz w:val="24"/>
          <w:szCs w:val="24"/>
        </w:rPr>
        <w:t>For the citizenry,</w:t>
      </w:r>
      <w:r w:rsidR="001B346C" w:rsidRPr="00DF7ECC">
        <w:rPr>
          <w:rFonts w:ascii="Arial" w:hAnsi="Arial" w:cs="Arial"/>
          <w:color w:val="000000" w:themeColor="text1"/>
          <w:sz w:val="24"/>
          <w:szCs w:val="24"/>
        </w:rPr>
        <w:t xml:space="preserve"> the reduction in wasteful expenditure and the curbing of corruption unlocks much needed resources for critical social sectors such as education, health, and social protection. Additionally, efforts to scale</w:t>
      </w:r>
      <w:r w:rsidRPr="00DF7ECC">
        <w:rPr>
          <w:rFonts w:ascii="Arial" w:hAnsi="Arial" w:cs="Arial"/>
          <w:color w:val="000000" w:themeColor="text1"/>
          <w:sz w:val="24"/>
          <w:szCs w:val="24"/>
        </w:rPr>
        <w:t>-</w:t>
      </w:r>
      <w:r w:rsidR="001B346C" w:rsidRPr="00DF7ECC">
        <w:rPr>
          <w:rFonts w:ascii="Arial" w:hAnsi="Arial" w:cs="Arial"/>
          <w:color w:val="000000" w:themeColor="text1"/>
          <w:sz w:val="24"/>
          <w:szCs w:val="24"/>
        </w:rPr>
        <w:t>up DRM present an opportunity to re</w:t>
      </w:r>
      <w:r w:rsidRPr="00DF7ECC">
        <w:rPr>
          <w:rFonts w:ascii="Arial" w:hAnsi="Arial" w:cs="Arial"/>
          <w:color w:val="000000" w:themeColor="text1"/>
          <w:sz w:val="24"/>
          <w:szCs w:val="24"/>
        </w:rPr>
        <w:t>-</w:t>
      </w:r>
      <w:r w:rsidR="001B346C" w:rsidRPr="00DF7ECC">
        <w:rPr>
          <w:rFonts w:ascii="Arial" w:hAnsi="Arial" w:cs="Arial"/>
          <w:color w:val="000000" w:themeColor="text1"/>
          <w:sz w:val="24"/>
          <w:szCs w:val="24"/>
        </w:rPr>
        <w:t xml:space="preserve">think and improve the taxation system </w:t>
      </w:r>
      <w:r w:rsidRPr="00DF7ECC">
        <w:rPr>
          <w:rFonts w:ascii="Arial" w:hAnsi="Arial" w:cs="Arial"/>
          <w:color w:val="000000" w:themeColor="text1"/>
          <w:sz w:val="24"/>
          <w:szCs w:val="24"/>
        </w:rPr>
        <w:t>and</w:t>
      </w:r>
      <w:r w:rsidR="001B346C" w:rsidRPr="00DF7ECC">
        <w:rPr>
          <w:rFonts w:ascii="Arial" w:hAnsi="Arial" w:cs="Arial"/>
          <w:color w:val="000000" w:themeColor="text1"/>
          <w:sz w:val="24"/>
          <w:szCs w:val="24"/>
        </w:rPr>
        <w:t xml:space="preserve"> ensure that there is progressivity and fair collection of taxes, fees, and fines.</w:t>
      </w:r>
    </w:p>
    <w:p w14:paraId="13606E65" w14:textId="77777777" w:rsidR="001B346C" w:rsidRPr="00DF7ECC" w:rsidRDefault="001B346C" w:rsidP="00DF7ECC">
      <w:pPr>
        <w:jc w:val="both"/>
        <w:rPr>
          <w:rFonts w:ascii="Arial" w:hAnsi="Arial" w:cs="Arial"/>
          <w:color w:val="000000" w:themeColor="text1"/>
          <w:sz w:val="24"/>
          <w:szCs w:val="24"/>
        </w:rPr>
      </w:pPr>
      <w:r w:rsidRPr="00DF7ECC">
        <w:rPr>
          <w:rFonts w:ascii="Arial" w:hAnsi="Arial" w:cs="Arial"/>
          <w:color w:val="000000" w:themeColor="text1"/>
          <w:sz w:val="24"/>
          <w:szCs w:val="24"/>
        </w:rPr>
        <w:t xml:space="preserve">The reduction of expenditure does, however, threaten the quality-of-service delivery. Wage bill constraints, for example, limit the number of teachers the Ministry of Education can employ, while the removal of subsidies has implications on the cost of living. </w:t>
      </w:r>
    </w:p>
    <w:p w14:paraId="22C060CF" w14:textId="58CA7B21" w:rsidR="00E80E08" w:rsidRPr="00DF7ECC" w:rsidRDefault="001B346C" w:rsidP="00DF7ECC">
      <w:pPr>
        <w:jc w:val="both"/>
        <w:rPr>
          <w:rFonts w:ascii="Arial" w:hAnsi="Arial" w:cs="Arial"/>
          <w:b/>
          <w:bCs/>
          <w:color w:val="000000" w:themeColor="text1"/>
          <w:sz w:val="24"/>
          <w:szCs w:val="24"/>
        </w:rPr>
      </w:pPr>
      <w:r w:rsidRPr="00DF7ECC">
        <w:rPr>
          <w:rFonts w:ascii="Arial" w:hAnsi="Arial" w:cs="Arial"/>
          <w:color w:val="000000" w:themeColor="text1"/>
          <w:sz w:val="24"/>
          <w:szCs w:val="24"/>
        </w:rPr>
        <w:t xml:space="preserve">The following proposals will therefore provide recommendations and justifications </w:t>
      </w:r>
      <w:proofErr w:type="gramStart"/>
      <w:r w:rsidRPr="00DF7ECC">
        <w:rPr>
          <w:rFonts w:ascii="Arial" w:hAnsi="Arial" w:cs="Arial"/>
          <w:color w:val="000000" w:themeColor="text1"/>
          <w:sz w:val="24"/>
          <w:szCs w:val="24"/>
        </w:rPr>
        <w:t>in light of</w:t>
      </w:r>
      <w:proofErr w:type="gramEnd"/>
      <w:r w:rsidRPr="00DF7ECC">
        <w:rPr>
          <w:rFonts w:ascii="Arial" w:hAnsi="Arial" w:cs="Arial"/>
          <w:color w:val="000000" w:themeColor="text1"/>
          <w:sz w:val="24"/>
          <w:szCs w:val="24"/>
        </w:rPr>
        <w:t xml:space="preserve"> the aforementioned context to complement the government’s efforts to restore debt sustainability while minimizing the adverse effects of potential austerity measures.</w:t>
      </w:r>
    </w:p>
    <w:tbl>
      <w:tblPr>
        <w:tblStyle w:val="TableGrid"/>
        <w:tblW w:w="0" w:type="auto"/>
        <w:tblLook w:val="04A0" w:firstRow="1" w:lastRow="0" w:firstColumn="1" w:lastColumn="0" w:noHBand="0" w:noVBand="1"/>
      </w:tblPr>
      <w:tblGrid>
        <w:gridCol w:w="3005"/>
        <w:gridCol w:w="4503"/>
        <w:gridCol w:w="6379"/>
      </w:tblGrid>
      <w:tr w:rsidR="00E60A68" w:rsidRPr="007E340E" w14:paraId="14165C80" w14:textId="77777777" w:rsidTr="00070AFA">
        <w:trPr>
          <w:trHeight w:val="300"/>
        </w:trPr>
        <w:tc>
          <w:tcPr>
            <w:tcW w:w="13887" w:type="dxa"/>
            <w:gridSpan w:val="3"/>
            <w:shd w:val="clear" w:color="auto" w:fill="ED7D31" w:themeFill="accent2"/>
          </w:tcPr>
          <w:p w14:paraId="76251C75" w14:textId="0EEAB90B" w:rsidR="00E60A68" w:rsidRPr="007E340E" w:rsidRDefault="00356C87" w:rsidP="007E340E">
            <w:pPr>
              <w:spacing w:line="276" w:lineRule="auto"/>
              <w:jc w:val="both"/>
              <w:rPr>
                <w:rFonts w:ascii="Arial" w:hAnsi="Arial" w:cs="Arial"/>
                <w:b/>
                <w:bCs/>
                <w:color w:val="000000" w:themeColor="text1"/>
                <w:sz w:val="24"/>
                <w:szCs w:val="24"/>
              </w:rPr>
            </w:pPr>
            <w:bookmarkStart w:id="1" w:name="_Hlk136448394"/>
            <w:r w:rsidRPr="007E340E">
              <w:rPr>
                <w:rFonts w:ascii="Arial" w:hAnsi="Arial" w:cs="Arial"/>
                <w:b/>
                <w:bCs/>
                <w:color w:val="000000" w:themeColor="text1"/>
                <w:sz w:val="24"/>
                <w:szCs w:val="24"/>
              </w:rPr>
              <w:t xml:space="preserve">                                                                            </w:t>
            </w:r>
            <w:r w:rsidR="00DF7ECC" w:rsidRPr="007E340E">
              <w:rPr>
                <w:rFonts w:ascii="Arial" w:hAnsi="Arial" w:cs="Arial"/>
                <w:b/>
                <w:bCs/>
                <w:color w:val="000000" w:themeColor="text1"/>
                <w:sz w:val="24"/>
                <w:szCs w:val="24"/>
              </w:rPr>
              <w:t xml:space="preserve">REVENUE </w:t>
            </w:r>
            <w:r w:rsidRPr="007E340E">
              <w:rPr>
                <w:rFonts w:ascii="Arial" w:hAnsi="Arial" w:cs="Arial"/>
                <w:b/>
                <w:bCs/>
                <w:color w:val="000000" w:themeColor="text1"/>
                <w:sz w:val="24"/>
                <w:szCs w:val="24"/>
              </w:rPr>
              <w:t xml:space="preserve">PROPOSALS </w:t>
            </w:r>
          </w:p>
        </w:tc>
      </w:tr>
      <w:tr w:rsidR="00356C87" w:rsidRPr="007E340E" w14:paraId="38C2C4DF" w14:textId="77777777" w:rsidTr="004B37E1">
        <w:trPr>
          <w:trHeight w:val="300"/>
        </w:trPr>
        <w:tc>
          <w:tcPr>
            <w:tcW w:w="13887" w:type="dxa"/>
            <w:gridSpan w:val="3"/>
            <w:shd w:val="clear" w:color="auto" w:fill="ED7D31" w:themeFill="accent2"/>
          </w:tcPr>
          <w:p w14:paraId="7F569C9A" w14:textId="31266C84" w:rsidR="00356C87" w:rsidRPr="007E340E" w:rsidRDefault="00356C87"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                                                                        </w:t>
            </w:r>
            <w:r w:rsidR="00DF7ECC" w:rsidRPr="007E340E">
              <w:rPr>
                <w:rFonts w:ascii="Arial" w:hAnsi="Arial" w:cs="Arial"/>
                <w:b/>
                <w:bCs/>
                <w:color w:val="000000" w:themeColor="text1"/>
                <w:sz w:val="24"/>
                <w:szCs w:val="24"/>
              </w:rPr>
              <w:t>T</w:t>
            </w:r>
            <w:r w:rsidRPr="007E340E">
              <w:rPr>
                <w:rFonts w:ascii="Arial" w:hAnsi="Arial" w:cs="Arial"/>
                <w:b/>
                <w:bCs/>
                <w:color w:val="000000" w:themeColor="text1"/>
                <w:sz w:val="24"/>
                <w:szCs w:val="24"/>
              </w:rPr>
              <w:t xml:space="preserve">AX COMPENSATING MEASURES </w:t>
            </w:r>
          </w:p>
        </w:tc>
      </w:tr>
      <w:tr w:rsidR="00E60A68" w:rsidRPr="007E340E" w14:paraId="3E8B050C" w14:textId="77777777" w:rsidTr="007E340E">
        <w:trPr>
          <w:trHeight w:val="300"/>
        </w:trPr>
        <w:tc>
          <w:tcPr>
            <w:tcW w:w="3005" w:type="dxa"/>
            <w:shd w:val="clear" w:color="auto" w:fill="ED7D31" w:themeFill="accent2"/>
          </w:tcPr>
          <w:p w14:paraId="17460795" w14:textId="4278CC81" w:rsidR="00E60A68" w:rsidRPr="007E340E" w:rsidRDefault="00E60A68"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PROPOSAL</w:t>
            </w:r>
          </w:p>
        </w:tc>
        <w:tc>
          <w:tcPr>
            <w:tcW w:w="4503" w:type="dxa"/>
            <w:shd w:val="clear" w:color="auto" w:fill="ED7D31" w:themeFill="accent2"/>
          </w:tcPr>
          <w:p w14:paraId="749DA4E2" w14:textId="2F4A5160" w:rsidR="00E60A68" w:rsidRPr="007E340E" w:rsidRDefault="00E60A68"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CURRENT STATUS</w:t>
            </w:r>
          </w:p>
        </w:tc>
        <w:tc>
          <w:tcPr>
            <w:tcW w:w="6379" w:type="dxa"/>
            <w:shd w:val="clear" w:color="auto" w:fill="ED7D31" w:themeFill="accent2"/>
          </w:tcPr>
          <w:p w14:paraId="5ECB766C" w14:textId="5120988E" w:rsidR="00E60A68" w:rsidRPr="007E340E" w:rsidRDefault="00E60A68"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JUSTIFICATION</w:t>
            </w:r>
          </w:p>
        </w:tc>
      </w:tr>
      <w:bookmarkEnd w:id="1"/>
      <w:tr w:rsidR="00356C87" w:rsidRPr="007E340E" w14:paraId="46A0AFA1" w14:textId="77777777" w:rsidTr="007E340E">
        <w:trPr>
          <w:trHeight w:val="300"/>
        </w:trPr>
        <w:tc>
          <w:tcPr>
            <w:tcW w:w="3005" w:type="dxa"/>
          </w:tcPr>
          <w:p w14:paraId="1AAB5144" w14:textId="0E4AB83C" w:rsidR="00356C87" w:rsidRPr="007E340E" w:rsidRDefault="00097342"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Harmonize</w:t>
            </w:r>
            <w:r w:rsidR="00356C87" w:rsidRPr="007E340E">
              <w:rPr>
                <w:rFonts w:ascii="Arial" w:hAnsi="Arial" w:cs="Arial"/>
                <w:b/>
                <w:bCs/>
                <w:color w:val="000000" w:themeColor="text1"/>
                <w:sz w:val="24"/>
                <w:szCs w:val="24"/>
              </w:rPr>
              <w:t xml:space="preserve"> Corporate Income Tax rates (CIT) for improved Tax revenue collection </w:t>
            </w:r>
          </w:p>
        </w:tc>
        <w:tc>
          <w:tcPr>
            <w:tcW w:w="4503" w:type="dxa"/>
          </w:tcPr>
          <w:p w14:paraId="55123C12" w14:textId="77777777" w:rsidR="00356C87" w:rsidRPr="007E340E" w:rsidRDefault="00356C87"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Currently there are different tax rates depending on industries – ranging from 35% for corporates operating electronic communications networks or service licenses, down to 10% for those in Agro-processing.</w:t>
            </w:r>
          </w:p>
          <w:p w14:paraId="37976484" w14:textId="77777777" w:rsidR="00356C87" w:rsidRPr="007E340E" w:rsidRDefault="00356C87" w:rsidP="007E340E">
            <w:pPr>
              <w:spacing w:line="276" w:lineRule="auto"/>
              <w:jc w:val="both"/>
              <w:rPr>
                <w:rFonts w:ascii="Arial" w:hAnsi="Arial" w:cs="Arial"/>
                <w:color w:val="000000" w:themeColor="text1"/>
                <w:sz w:val="24"/>
                <w:szCs w:val="24"/>
              </w:rPr>
            </w:pPr>
          </w:p>
          <w:p w14:paraId="3959675C" w14:textId="45F7FDF6" w:rsidR="00356C87" w:rsidRPr="007E340E" w:rsidRDefault="00000000" w:rsidP="007E340E">
            <w:pPr>
              <w:spacing w:line="276" w:lineRule="auto"/>
              <w:jc w:val="both"/>
              <w:rPr>
                <w:rFonts w:ascii="Arial" w:hAnsi="Arial" w:cs="Arial"/>
                <w:color w:val="000000" w:themeColor="text1"/>
                <w:sz w:val="24"/>
                <w:szCs w:val="24"/>
              </w:rPr>
            </w:pPr>
            <w:hyperlink r:id="rId11" w:anchor=":~:text=The%20standard%20applicable%20CIT%20rate,of%20corporate%20entities%20is%2030%25.">
              <w:r w:rsidR="00356C87" w:rsidRPr="007E340E">
                <w:rPr>
                  <w:rStyle w:val="Hyperlink"/>
                  <w:rFonts w:ascii="Arial" w:hAnsi="Arial" w:cs="Arial"/>
                  <w:color w:val="000000" w:themeColor="text1"/>
                  <w:sz w:val="24"/>
                  <w:szCs w:val="24"/>
                </w:rPr>
                <w:t xml:space="preserve">Multi Facility Economic zone or Industrial Park further provide for tax rates as low </w:t>
              </w:r>
              <w:r w:rsidR="00356C87" w:rsidRPr="007E340E">
                <w:rPr>
                  <w:rStyle w:val="Hyperlink"/>
                  <w:rFonts w:ascii="Arial" w:hAnsi="Arial" w:cs="Arial"/>
                  <w:color w:val="000000" w:themeColor="text1"/>
                  <w:sz w:val="24"/>
                  <w:szCs w:val="24"/>
                </w:rPr>
                <w:lastRenderedPageBreak/>
                <w:t>as 0% for their first 10 years of operations</w:t>
              </w:r>
            </w:hyperlink>
            <w:r w:rsidR="00356C87" w:rsidRPr="007E340E">
              <w:rPr>
                <w:rFonts w:ascii="Arial" w:hAnsi="Arial" w:cs="Arial"/>
                <w:color w:val="000000" w:themeColor="text1"/>
                <w:sz w:val="24"/>
                <w:szCs w:val="24"/>
              </w:rPr>
              <w:t>.</w:t>
            </w:r>
          </w:p>
        </w:tc>
        <w:tc>
          <w:tcPr>
            <w:tcW w:w="6379" w:type="dxa"/>
          </w:tcPr>
          <w:p w14:paraId="35DEFD1A" w14:textId="55D69052" w:rsidR="00356C87" w:rsidRPr="007E340E" w:rsidRDefault="00356C87" w:rsidP="007E340E">
            <w:pPr>
              <w:pStyle w:val="ListParagraph"/>
              <w:numPr>
                <w:ilvl w:val="0"/>
                <w:numId w:val="6"/>
              </w:num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lastRenderedPageBreak/>
              <w:t>Harmonizing tax rates would reduce corporates from taking advantage of the tax differences of different industries and would result in increased revenue collection. It would also ease the burden on the tax administration</w:t>
            </w:r>
          </w:p>
        </w:tc>
      </w:tr>
      <w:tr w:rsidR="00026638" w:rsidRPr="007E340E" w14:paraId="2DE9EE1C" w14:textId="77777777" w:rsidTr="007E340E">
        <w:trPr>
          <w:trHeight w:val="300"/>
        </w:trPr>
        <w:tc>
          <w:tcPr>
            <w:tcW w:w="3005" w:type="dxa"/>
          </w:tcPr>
          <w:p w14:paraId="59656DA5" w14:textId="60FA1E66" w:rsidR="00026638" w:rsidRPr="007E340E" w:rsidRDefault="00026638" w:rsidP="007E340E">
            <w:pPr>
              <w:spacing w:line="276" w:lineRule="auto"/>
              <w:jc w:val="both"/>
              <w:rPr>
                <w:rFonts w:ascii="Arial" w:hAnsi="Arial" w:cs="Arial"/>
                <w:b/>
                <w:bCs/>
                <w:sz w:val="24"/>
                <w:szCs w:val="24"/>
              </w:rPr>
            </w:pPr>
            <w:r w:rsidRPr="007E340E">
              <w:rPr>
                <w:rFonts w:ascii="Arial" w:hAnsi="Arial" w:cs="Arial"/>
                <w:b/>
                <w:bCs/>
                <w:sz w:val="24"/>
                <w:szCs w:val="24"/>
              </w:rPr>
              <w:t>Increase Taxation of Income from Chemical fertilizer</w:t>
            </w:r>
            <w:r w:rsidR="00097342">
              <w:rPr>
                <w:rFonts w:ascii="Arial" w:hAnsi="Arial" w:cs="Arial"/>
                <w:b/>
                <w:bCs/>
                <w:sz w:val="24"/>
                <w:szCs w:val="24"/>
              </w:rPr>
              <w:t xml:space="preserve"> manufacturing </w:t>
            </w:r>
            <w:r w:rsidR="00097342" w:rsidRPr="007E340E">
              <w:rPr>
                <w:rFonts w:ascii="Arial" w:hAnsi="Arial" w:cs="Arial"/>
                <w:b/>
                <w:bCs/>
                <w:sz w:val="24"/>
                <w:szCs w:val="24"/>
              </w:rPr>
              <w:t>from</w:t>
            </w:r>
            <w:r w:rsidRPr="007E340E">
              <w:rPr>
                <w:rFonts w:ascii="Arial" w:hAnsi="Arial" w:cs="Arial"/>
                <w:b/>
                <w:bCs/>
                <w:sz w:val="24"/>
                <w:szCs w:val="24"/>
              </w:rPr>
              <w:t xml:space="preserve"> 15% to 30% </w:t>
            </w:r>
          </w:p>
        </w:tc>
        <w:tc>
          <w:tcPr>
            <w:tcW w:w="4503" w:type="dxa"/>
          </w:tcPr>
          <w:p w14:paraId="232C480E" w14:textId="0B5774D2" w:rsidR="00026638" w:rsidRPr="007E340E" w:rsidRDefault="00026638" w:rsidP="007E340E">
            <w:pPr>
              <w:spacing w:line="276" w:lineRule="auto"/>
              <w:jc w:val="both"/>
              <w:rPr>
                <w:rFonts w:ascii="Arial" w:hAnsi="Arial" w:cs="Arial"/>
                <w:sz w:val="24"/>
                <w:szCs w:val="24"/>
              </w:rPr>
            </w:pPr>
            <w:r w:rsidRPr="007E340E">
              <w:rPr>
                <w:rFonts w:ascii="Arial" w:hAnsi="Arial" w:cs="Arial"/>
                <w:sz w:val="24"/>
                <w:szCs w:val="24"/>
              </w:rPr>
              <w:t>Income from organic and chemical manufacturing of fertilizers is taxed at a reduced rate of 15%</w:t>
            </w:r>
          </w:p>
        </w:tc>
        <w:tc>
          <w:tcPr>
            <w:tcW w:w="6379" w:type="dxa"/>
          </w:tcPr>
          <w:p w14:paraId="74D51740" w14:textId="4B28A520" w:rsidR="00026638" w:rsidRPr="007E340E" w:rsidRDefault="00026638" w:rsidP="007E340E">
            <w:pPr>
              <w:pStyle w:val="ListParagraph"/>
              <w:numPr>
                <w:ilvl w:val="0"/>
                <w:numId w:val="6"/>
              </w:numPr>
              <w:spacing w:line="276" w:lineRule="auto"/>
              <w:jc w:val="both"/>
              <w:rPr>
                <w:rFonts w:ascii="Arial" w:hAnsi="Arial" w:cs="Arial"/>
                <w:sz w:val="24"/>
                <w:szCs w:val="24"/>
              </w:rPr>
            </w:pPr>
            <w:r w:rsidRPr="007E340E">
              <w:rPr>
                <w:rFonts w:ascii="Arial" w:hAnsi="Arial" w:cs="Arial"/>
                <w:sz w:val="24"/>
                <w:szCs w:val="24"/>
              </w:rPr>
              <w:t xml:space="preserve">This measure will not only bring in additional revenue but will discourage production of chemical fertilizer </w:t>
            </w:r>
            <w:r w:rsidR="007E340E" w:rsidRPr="007E340E">
              <w:rPr>
                <w:rFonts w:ascii="Arial" w:hAnsi="Arial" w:cs="Arial"/>
                <w:sz w:val="24"/>
                <w:szCs w:val="24"/>
              </w:rPr>
              <w:t xml:space="preserve">which contributes to soil acidification and soil crust, thereby reducing the content of organic matter. Furthermore, this measure can encourage production of organic fertilizers </w:t>
            </w:r>
          </w:p>
        </w:tc>
      </w:tr>
      <w:tr w:rsidR="00026638" w:rsidRPr="007E340E" w14:paraId="503C0BF0" w14:textId="77777777" w:rsidTr="007E340E">
        <w:trPr>
          <w:trHeight w:val="300"/>
        </w:trPr>
        <w:tc>
          <w:tcPr>
            <w:tcW w:w="3005" w:type="dxa"/>
          </w:tcPr>
          <w:p w14:paraId="58333EF3" w14:textId="3231A4B7" w:rsidR="00026638" w:rsidRPr="007E340E" w:rsidRDefault="00026638" w:rsidP="007E340E">
            <w:pPr>
              <w:spacing w:line="276" w:lineRule="auto"/>
              <w:jc w:val="both"/>
              <w:rPr>
                <w:rFonts w:ascii="Arial" w:hAnsi="Arial" w:cs="Arial"/>
                <w:b/>
                <w:bCs/>
                <w:sz w:val="24"/>
                <w:szCs w:val="24"/>
              </w:rPr>
            </w:pPr>
            <w:r w:rsidRPr="007E340E">
              <w:rPr>
                <w:rFonts w:ascii="Arial" w:hAnsi="Arial" w:cs="Arial"/>
                <w:b/>
                <w:bCs/>
                <w:sz w:val="24"/>
                <w:szCs w:val="24"/>
              </w:rPr>
              <w:t xml:space="preserve">Introduce a 15% WHT on dividends paid by a Mining Company to Individual shareholders </w:t>
            </w:r>
          </w:p>
        </w:tc>
        <w:tc>
          <w:tcPr>
            <w:tcW w:w="4503" w:type="dxa"/>
          </w:tcPr>
          <w:p w14:paraId="4102DAE7" w14:textId="7AFC9707" w:rsidR="00026638" w:rsidRPr="007E340E" w:rsidRDefault="00026638" w:rsidP="007E340E">
            <w:pPr>
              <w:spacing w:line="276" w:lineRule="auto"/>
              <w:jc w:val="both"/>
              <w:rPr>
                <w:rFonts w:ascii="Arial" w:hAnsi="Arial" w:cs="Arial"/>
                <w:sz w:val="24"/>
                <w:szCs w:val="24"/>
              </w:rPr>
            </w:pPr>
            <w:r w:rsidRPr="007E340E">
              <w:rPr>
                <w:rFonts w:ascii="Arial" w:hAnsi="Arial" w:cs="Arial"/>
                <w:sz w:val="24"/>
                <w:szCs w:val="24"/>
              </w:rPr>
              <w:t>Dividend paid by a mining company holding a mining license and carrying on mining operations is taxed at 0%</w:t>
            </w:r>
          </w:p>
        </w:tc>
        <w:tc>
          <w:tcPr>
            <w:tcW w:w="6379" w:type="dxa"/>
          </w:tcPr>
          <w:p w14:paraId="2594959A" w14:textId="557D8CE1" w:rsidR="00026638" w:rsidRPr="007E340E" w:rsidRDefault="00026638" w:rsidP="007E340E">
            <w:pPr>
              <w:pStyle w:val="ListParagraph"/>
              <w:numPr>
                <w:ilvl w:val="0"/>
                <w:numId w:val="6"/>
              </w:numPr>
              <w:spacing w:line="276" w:lineRule="auto"/>
              <w:jc w:val="both"/>
              <w:rPr>
                <w:rFonts w:ascii="Arial" w:hAnsi="Arial" w:cs="Arial"/>
                <w:sz w:val="24"/>
                <w:szCs w:val="24"/>
              </w:rPr>
            </w:pPr>
            <w:r w:rsidRPr="007E340E">
              <w:rPr>
                <w:rFonts w:ascii="Arial" w:hAnsi="Arial" w:cs="Arial"/>
                <w:sz w:val="24"/>
                <w:szCs w:val="24"/>
              </w:rPr>
              <w:t xml:space="preserve">This measure will lead to increased tax revenue collection from the mining sector </w:t>
            </w:r>
          </w:p>
        </w:tc>
      </w:tr>
      <w:tr w:rsidR="00356C87" w:rsidRPr="007E340E" w14:paraId="608277F5" w14:textId="77777777" w:rsidTr="007E340E">
        <w:trPr>
          <w:trHeight w:val="300"/>
        </w:trPr>
        <w:tc>
          <w:tcPr>
            <w:tcW w:w="3005" w:type="dxa"/>
          </w:tcPr>
          <w:p w14:paraId="71C07088" w14:textId="0D5206BB" w:rsidR="00356C87" w:rsidRPr="007E340E" w:rsidRDefault="00356C87" w:rsidP="007E340E">
            <w:pPr>
              <w:spacing w:line="276" w:lineRule="auto"/>
              <w:jc w:val="both"/>
              <w:rPr>
                <w:rFonts w:ascii="Arial" w:hAnsi="Arial" w:cs="Arial"/>
                <w:b/>
                <w:bCs/>
                <w:color w:val="000000" w:themeColor="text1"/>
                <w:sz w:val="24"/>
                <w:szCs w:val="24"/>
              </w:rPr>
            </w:pPr>
            <w:r w:rsidRPr="007E340E">
              <w:rPr>
                <w:rFonts w:ascii="Arial" w:hAnsi="Arial" w:cs="Arial"/>
                <w:b/>
                <w:bCs/>
                <w:sz w:val="24"/>
                <w:szCs w:val="24"/>
              </w:rPr>
              <w:t xml:space="preserve">Release double taxation policy/strategy for improved and negotiation, </w:t>
            </w:r>
            <w:r w:rsidR="00903EFA" w:rsidRPr="007E340E">
              <w:rPr>
                <w:rFonts w:ascii="Arial" w:hAnsi="Arial" w:cs="Arial"/>
                <w:b/>
                <w:bCs/>
                <w:sz w:val="24"/>
                <w:szCs w:val="24"/>
              </w:rPr>
              <w:t>cancelation,</w:t>
            </w:r>
            <w:r w:rsidRPr="007E340E">
              <w:rPr>
                <w:rFonts w:ascii="Arial" w:hAnsi="Arial" w:cs="Arial"/>
                <w:b/>
                <w:bCs/>
                <w:sz w:val="24"/>
                <w:szCs w:val="24"/>
              </w:rPr>
              <w:t xml:space="preserve"> and development of DTAs</w:t>
            </w:r>
          </w:p>
        </w:tc>
        <w:tc>
          <w:tcPr>
            <w:tcW w:w="4503" w:type="dxa"/>
          </w:tcPr>
          <w:p w14:paraId="7EAA0C5C" w14:textId="60CA68C5" w:rsidR="00356C87" w:rsidRPr="007E340E" w:rsidRDefault="00356C87" w:rsidP="007E340E">
            <w:pPr>
              <w:spacing w:line="276" w:lineRule="auto"/>
              <w:jc w:val="both"/>
              <w:rPr>
                <w:rFonts w:ascii="Arial" w:hAnsi="Arial" w:cs="Arial"/>
                <w:color w:val="000000" w:themeColor="text1"/>
                <w:sz w:val="24"/>
                <w:szCs w:val="24"/>
              </w:rPr>
            </w:pPr>
            <w:r w:rsidRPr="007E340E">
              <w:rPr>
                <w:rFonts w:ascii="Arial" w:hAnsi="Arial" w:cs="Arial"/>
                <w:sz w:val="24"/>
                <w:szCs w:val="24"/>
              </w:rPr>
              <w:t>Currently Zambia has 22 active double taxation agreements with jurisdictions around the world and dated from as early as the year 1951 (with France) to 2018 (with the Netherlands). These have been used by multinational companies (MNCs) for aggressive tax planning and has facilitated for illicit financial flows and profit shifting out of Zambia.</w:t>
            </w:r>
          </w:p>
        </w:tc>
        <w:tc>
          <w:tcPr>
            <w:tcW w:w="6379" w:type="dxa"/>
          </w:tcPr>
          <w:p w14:paraId="5CA92878" w14:textId="37721751" w:rsidR="00356C87" w:rsidRPr="007E340E" w:rsidRDefault="00356C87" w:rsidP="007E340E">
            <w:pPr>
              <w:pStyle w:val="ListParagraph"/>
              <w:numPr>
                <w:ilvl w:val="0"/>
                <w:numId w:val="6"/>
              </w:numPr>
              <w:spacing w:line="276" w:lineRule="auto"/>
              <w:jc w:val="both"/>
              <w:rPr>
                <w:rFonts w:ascii="Arial" w:hAnsi="Arial" w:cs="Arial"/>
                <w:color w:val="000000" w:themeColor="text1"/>
                <w:sz w:val="24"/>
                <w:szCs w:val="24"/>
              </w:rPr>
            </w:pPr>
            <w:r w:rsidRPr="007E340E">
              <w:rPr>
                <w:rFonts w:ascii="Arial" w:hAnsi="Arial" w:cs="Arial"/>
                <w:sz w:val="24"/>
                <w:szCs w:val="24"/>
              </w:rPr>
              <w:t xml:space="preserve">Release double taxation policy/strategy for improved and negotiation, </w:t>
            </w:r>
            <w:r w:rsidR="008C60BF" w:rsidRPr="007E340E">
              <w:rPr>
                <w:rFonts w:ascii="Arial" w:hAnsi="Arial" w:cs="Arial"/>
                <w:sz w:val="24"/>
                <w:szCs w:val="24"/>
              </w:rPr>
              <w:t>cancelation,</w:t>
            </w:r>
            <w:r w:rsidRPr="007E340E">
              <w:rPr>
                <w:rFonts w:ascii="Arial" w:hAnsi="Arial" w:cs="Arial"/>
                <w:sz w:val="24"/>
                <w:szCs w:val="24"/>
              </w:rPr>
              <w:t xml:space="preserve"> and development of DTAs</w:t>
            </w:r>
          </w:p>
        </w:tc>
      </w:tr>
      <w:tr w:rsidR="008C60BF" w:rsidRPr="007E340E" w14:paraId="2F43F408" w14:textId="77777777" w:rsidTr="007E340E">
        <w:trPr>
          <w:trHeight w:val="300"/>
        </w:trPr>
        <w:tc>
          <w:tcPr>
            <w:tcW w:w="3005" w:type="dxa"/>
          </w:tcPr>
          <w:p w14:paraId="33E44EED" w14:textId="6A13109D" w:rsidR="008C60BF" w:rsidRPr="007E340E" w:rsidRDefault="008C60BF" w:rsidP="007E340E">
            <w:pPr>
              <w:spacing w:line="276" w:lineRule="auto"/>
              <w:jc w:val="both"/>
              <w:rPr>
                <w:rFonts w:ascii="Arial" w:hAnsi="Arial" w:cs="Arial"/>
                <w:b/>
                <w:bCs/>
                <w:sz w:val="24"/>
                <w:szCs w:val="24"/>
              </w:rPr>
            </w:pPr>
            <w:r w:rsidRPr="007E340E">
              <w:rPr>
                <w:rFonts w:ascii="Arial" w:hAnsi="Arial" w:cs="Arial"/>
                <w:b/>
                <w:bCs/>
                <w:color w:val="000000" w:themeColor="text1"/>
                <w:sz w:val="24"/>
                <w:szCs w:val="24"/>
              </w:rPr>
              <w:t xml:space="preserve">Introduce a comprehensive and well-defined taxation mechanism for companies that operate within the Zambian Jurisdiction and provide </w:t>
            </w:r>
            <w:r w:rsidRPr="007E340E">
              <w:rPr>
                <w:rFonts w:ascii="Arial" w:hAnsi="Arial" w:cs="Arial"/>
                <w:b/>
                <w:bCs/>
                <w:color w:val="000000" w:themeColor="text1"/>
                <w:sz w:val="24"/>
                <w:szCs w:val="24"/>
              </w:rPr>
              <w:lastRenderedPageBreak/>
              <w:t xml:space="preserve">digital services but have no legal presence. </w:t>
            </w:r>
          </w:p>
        </w:tc>
        <w:tc>
          <w:tcPr>
            <w:tcW w:w="4503" w:type="dxa"/>
          </w:tcPr>
          <w:p w14:paraId="7871580F" w14:textId="77777777" w:rsidR="008C60BF" w:rsidRPr="007E340E" w:rsidRDefault="008C60BF"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lastRenderedPageBreak/>
              <w:t xml:space="preserve">Technology Companies such as Meta, Twitter, Netflix, Amazon, and Spotify provide digital services and have a wide Zambian customer base and significant economic presence. </w:t>
            </w:r>
          </w:p>
          <w:p w14:paraId="2F4C2F69" w14:textId="77777777" w:rsidR="008C60BF" w:rsidRPr="007E340E" w:rsidRDefault="008C60BF" w:rsidP="007E340E">
            <w:pPr>
              <w:spacing w:line="276" w:lineRule="auto"/>
              <w:jc w:val="both"/>
              <w:rPr>
                <w:rFonts w:ascii="Arial" w:hAnsi="Arial" w:cs="Arial"/>
                <w:color w:val="000000" w:themeColor="text1"/>
                <w:sz w:val="24"/>
                <w:szCs w:val="24"/>
              </w:rPr>
            </w:pPr>
          </w:p>
          <w:p w14:paraId="18C3A1A5" w14:textId="77777777" w:rsidR="008C60BF" w:rsidRPr="007E340E" w:rsidRDefault="008C60BF"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lastRenderedPageBreak/>
              <w:t xml:space="preserve">Currently, the only tax on Technology companies is rendered through the corporate income tax and is only collected CIT at 35%. Despite global tech giants using our infrastructure and profiting from Zambian citizens, taxes are not collected by the ZRA. </w:t>
            </w:r>
          </w:p>
          <w:p w14:paraId="241CE9E5" w14:textId="77777777" w:rsidR="008C60BF" w:rsidRPr="007E340E" w:rsidRDefault="008C60BF" w:rsidP="007E340E">
            <w:pPr>
              <w:spacing w:line="276" w:lineRule="auto"/>
              <w:jc w:val="both"/>
              <w:rPr>
                <w:rFonts w:ascii="Arial" w:hAnsi="Arial" w:cs="Arial"/>
                <w:color w:val="000000" w:themeColor="text1"/>
                <w:sz w:val="24"/>
                <w:szCs w:val="24"/>
              </w:rPr>
            </w:pPr>
          </w:p>
          <w:p w14:paraId="0445BD74" w14:textId="77777777" w:rsidR="008C60BF" w:rsidRPr="007E340E" w:rsidRDefault="008C60BF"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The OECD’s 2 Pillar Solution under their inclusive framework further reinforces this practice of taxes only being collected in the developed countries that these multinationals are incorporated in.</w:t>
            </w:r>
          </w:p>
          <w:p w14:paraId="0281B4A8" w14:textId="77777777" w:rsidR="008C60BF" w:rsidRPr="007E340E" w:rsidRDefault="008C60BF" w:rsidP="007E340E">
            <w:pPr>
              <w:spacing w:line="276" w:lineRule="auto"/>
              <w:jc w:val="both"/>
              <w:rPr>
                <w:rFonts w:ascii="Arial" w:hAnsi="Arial" w:cs="Arial"/>
                <w:color w:val="000000" w:themeColor="text1"/>
                <w:sz w:val="24"/>
                <w:szCs w:val="24"/>
              </w:rPr>
            </w:pPr>
          </w:p>
          <w:p w14:paraId="44FC3645" w14:textId="77777777" w:rsidR="008C60BF" w:rsidRPr="007E340E" w:rsidRDefault="008C60BF"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Lessons can be drawn from other African countries such as Nigeria who tax companies based on their “significant economic presence” at a rate of 6% percent of annual turnover. Similarly, Kenya</w:t>
            </w:r>
          </w:p>
          <w:p w14:paraId="1ABAD97A" w14:textId="77777777" w:rsidR="008C60BF" w:rsidRPr="007E340E" w:rsidRDefault="008C60BF"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has a digital service tax (operating like an excise tax) at 1.5% of value of transactions and is collected through agents who file taxes on behalf of the MNCs.</w:t>
            </w:r>
          </w:p>
          <w:p w14:paraId="0D35D0B9" w14:textId="77777777" w:rsidR="008C60BF" w:rsidRPr="007E340E" w:rsidRDefault="008C60BF"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 xml:space="preserve"> </w:t>
            </w:r>
          </w:p>
          <w:p w14:paraId="649513E9" w14:textId="77777777" w:rsidR="008C60BF" w:rsidRPr="007E340E" w:rsidRDefault="008C60BF" w:rsidP="007E340E">
            <w:pPr>
              <w:spacing w:line="276" w:lineRule="auto"/>
              <w:jc w:val="both"/>
              <w:rPr>
                <w:rStyle w:val="Hyperlink"/>
                <w:rFonts w:ascii="Arial" w:hAnsi="Arial" w:cs="Arial"/>
                <w:color w:val="000000" w:themeColor="text1"/>
                <w:sz w:val="24"/>
                <w:szCs w:val="24"/>
              </w:rPr>
            </w:pPr>
            <w:r w:rsidRPr="007E340E">
              <w:rPr>
                <w:rFonts w:ascii="Arial" w:hAnsi="Arial" w:cs="Arial"/>
                <w:color w:val="000000" w:themeColor="text1"/>
                <w:sz w:val="24"/>
                <w:szCs w:val="24"/>
              </w:rPr>
              <w:t xml:space="preserve">ATAF, who Zambia is a member of have a </w:t>
            </w:r>
            <w:hyperlink r:id="rId12">
              <w:r w:rsidRPr="007E340E">
                <w:rPr>
                  <w:rStyle w:val="Hyperlink"/>
                  <w:rFonts w:ascii="Arial" w:hAnsi="Arial" w:cs="Arial"/>
                  <w:color w:val="000000" w:themeColor="text1"/>
                  <w:sz w:val="24"/>
                  <w:szCs w:val="24"/>
                </w:rPr>
                <w:t>guide on introducing digital services</w:t>
              </w:r>
            </w:hyperlink>
          </w:p>
          <w:p w14:paraId="58B4B163" w14:textId="77777777" w:rsidR="008C60BF" w:rsidRPr="007E340E" w:rsidRDefault="008C60BF" w:rsidP="007E340E">
            <w:pPr>
              <w:spacing w:line="276" w:lineRule="auto"/>
              <w:jc w:val="both"/>
              <w:rPr>
                <w:rFonts w:ascii="Arial" w:hAnsi="Arial" w:cs="Arial"/>
                <w:sz w:val="24"/>
                <w:szCs w:val="24"/>
              </w:rPr>
            </w:pPr>
          </w:p>
        </w:tc>
        <w:tc>
          <w:tcPr>
            <w:tcW w:w="6379" w:type="dxa"/>
          </w:tcPr>
          <w:p w14:paraId="27061442" w14:textId="491CD4EB" w:rsidR="008C60BF" w:rsidRPr="007E340E" w:rsidRDefault="008C60BF" w:rsidP="007E340E">
            <w:pPr>
              <w:pStyle w:val="ListParagraph"/>
              <w:numPr>
                <w:ilvl w:val="0"/>
                <w:numId w:val="6"/>
              </w:numPr>
              <w:spacing w:line="276" w:lineRule="auto"/>
              <w:jc w:val="both"/>
              <w:rPr>
                <w:rFonts w:ascii="Arial" w:hAnsi="Arial" w:cs="Arial"/>
                <w:sz w:val="24"/>
                <w:szCs w:val="24"/>
              </w:rPr>
            </w:pPr>
            <w:r w:rsidRPr="007E340E">
              <w:rPr>
                <w:rFonts w:ascii="Arial" w:hAnsi="Arial" w:cs="Arial"/>
                <w:color w:val="000000" w:themeColor="text1"/>
                <w:sz w:val="24"/>
                <w:szCs w:val="24"/>
              </w:rPr>
              <w:lastRenderedPageBreak/>
              <w:t xml:space="preserve">Taxation of these services would increase domestic resource </w:t>
            </w:r>
            <w:r w:rsidR="00F6434D" w:rsidRPr="007E340E">
              <w:rPr>
                <w:rFonts w:ascii="Arial" w:hAnsi="Arial" w:cs="Arial"/>
                <w:color w:val="000000" w:themeColor="text1"/>
                <w:sz w:val="24"/>
                <w:szCs w:val="24"/>
              </w:rPr>
              <w:t>mobilization</w:t>
            </w:r>
            <w:r w:rsidRPr="007E340E">
              <w:rPr>
                <w:rFonts w:ascii="Arial" w:hAnsi="Arial" w:cs="Arial"/>
                <w:color w:val="000000" w:themeColor="text1"/>
                <w:sz w:val="24"/>
                <w:szCs w:val="24"/>
              </w:rPr>
              <w:t xml:space="preserve"> from this growing sector.</w:t>
            </w:r>
          </w:p>
        </w:tc>
      </w:tr>
      <w:tr w:rsidR="00356C87" w:rsidRPr="007E340E" w14:paraId="703C27DE" w14:textId="77777777" w:rsidTr="00827044">
        <w:trPr>
          <w:trHeight w:val="300"/>
        </w:trPr>
        <w:tc>
          <w:tcPr>
            <w:tcW w:w="13887" w:type="dxa"/>
            <w:gridSpan w:val="3"/>
            <w:shd w:val="clear" w:color="auto" w:fill="ED7D31" w:themeFill="accent2"/>
          </w:tcPr>
          <w:p w14:paraId="150EB4D6" w14:textId="4DF284C8" w:rsidR="00356C87" w:rsidRPr="007E340E" w:rsidRDefault="00356C87"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lastRenderedPageBreak/>
              <w:t xml:space="preserve">                                                      TAX CONCESSION MEASURES </w:t>
            </w:r>
          </w:p>
        </w:tc>
      </w:tr>
      <w:tr w:rsidR="00356C87" w:rsidRPr="007E340E" w14:paraId="01B858EE" w14:textId="77777777" w:rsidTr="007E340E">
        <w:trPr>
          <w:trHeight w:val="300"/>
        </w:trPr>
        <w:tc>
          <w:tcPr>
            <w:tcW w:w="3005" w:type="dxa"/>
            <w:shd w:val="clear" w:color="auto" w:fill="ED7D31" w:themeFill="accent2"/>
          </w:tcPr>
          <w:p w14:paraId="4ED25D58" w14:textId="77777777" w:rsidR="00356C87" w:rsidRPr="007E340E" w:rsidRDefault="00356C87"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PROPOSAL</w:t>
            </w:r>
          </w:p>
        </w:tc>
        <w:tc>
          <w:tcPr>
            <w:tcW w:w="4503" w:type="dxa"/>
            <w:shd w:val="clear" w:color="auto" w:fill="ED7D31" w:themeFill="accent2"/>
          </w:tcPr>
          <w:p w14:paraId="7753CFCF" w14:textId="77777777" w:rsidR="00356C87" w:rsidRPr="007E340E" w:rsidRDefault="00356C87"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CURRENT STATUS</w:t>
            </w:r>
          </w:p>
        </w:tc>
        <w:tc>
          <w:tcPr>
            <w:tcW w:w="6379" w:type="dxa"/>
            <w:shd w:val="clear" w:color="auto" w:fill="ED7D31" w:themeFill="accent2"/>
          </w:tcPr>
          <w:p w14:paraId="6558260B" w14:textId="77777777" w:rsidR="00356C87" w:rsidRPr="007E340E" w:rsidRDefault="00356C87"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JUSTIFICATION</w:t>
            </w:r>
          </w:p>
        </w:tc>
      </w:tr>
      <w:tr w:rsidR="00356C87" w:rsidRPr="007E340E" w14:paraId="4F55A37A" w14:textId="77777777" w:rsidTr="007E340E">
        <w:trPr>
          <w:trHeight w:val="300"/>
        </w:trPr>
        <w:tc>
          <w:tcPr>
            <w:tcW w:w="3005" w:type="dxa"/>
          </w:tcPr>
          <w:p w14:paraId="50788394" w14:textId="77777777" w:rsidR="00356C87" w:rsidRPr="007E340E" w:rsidRDefault="00356C87"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Reduce PAYE topline threshold from the current 37.5% to 30%</w:t>
            </w:r>
          </w:p>
        </w:tc>
        <w:tc>
          <w:tcPr>
            <w:tcW w:w="4503" w:type="dxa"/>
          </w:tcPr>
          <w:p w14:paraId="114226B0" w14:textId="340E3F6C" w:rsidR="00356C87" w:rsidRPr="007E340E" w:rsidRDefault="00356C87"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 xml:space="preserve">The current threshold for individuals that earn </w:t>
            </w:r>
            <w:hyperlink r:id="rId13">
              <w:r w:rsidRPr="007E340E">
                <w:rPr>
                  <w:rStyle w:val="Hyperlink"/>
                  <w:rFonts w:ascii="Arial" w:hAnsi="Arial" w:cs="Arial"/>
                  <w:color w:val="000000" w:themeColor="text1"/>
                  <w:sz w:val="24"/>
                  <w:szCs w:val="24"/>
                </w:rPr>
                <w:t>K8,900.00 and above is 37.5%.</w:t>
              </w:r>
            </w:hyperlink>
            <w:r w:rsidRPr="007E340E">
              <w:rPr>
                <w:rFonts w:ascii="Arial" w:hAnsi="Arial" w:cs="Arial"/>
                <w:color w:val="000000" w:themeColor="text1"/>
                <w:sz w:val="24"/>
                <w:szCs w:val="24"/>
              </w:rPr>
              <w:t xml:space="preserve"> </w:t>
            </w:r>
          </w:p>
          <w:p w14:paraId="0EFBEA76" w14:textId="77777777" w:rsidR="00356C87" w:rsidRPr="007E340E" w:rsidRDefault="00356C87" w:rsidP="007E340E">
            <w:pPr>
              <w:spacing w:line="276" w:lineRule="auto"/>
              <w:jc w:val="both"/>
              <w:rPr>
                <w:rFonts w:ascii="Arial" w:hAnsi="Arial" w:cs="Arial"/>
                <w:color w:val="000000" w:themeColor="text1"/>
                <w:sz w:val="24"/>
                <w:szCs w:val="24"/>
              </w:rPr>
            </w:pPr>
          </w:p>
        </w:tc>
        <w:tc>
          <w:tcPr>
            <w:tcW w:w="6379" w:type="dxa"/>
          </w:tcPr>
          <w:p w14:paraId="049301C7" w14:textId="77777777" w:rsidR="00356C87" w:rsidRPr="007E340E" w:rsidRDefault="00356C87" w:rsidP="007E340E">
            <w:pPr>
              <w:pStyle w:val="ListParagraph"/>
              <w:numPr>
                <w:ilvl w:val="0"/>
                <w:numId w:val="6"/>
              </w:num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The reduction in the tax rate would reduce the revenue collected from individuals who are formally employed. However, the increase in disposable income would increase consumption and tax collection through VAT.</w:t>
            </w:r>
          </w:p>
          <w:p w14:paraId="0CF1A055" w14:textId="21A3E2B6" w:rsidR="00356C87" w:rsidRPr="00097342" w:rsidRDefault="00356C87" w:rsidP="00097342">
            <w:pPr>
              <w:spacing w:line="276" w:lineRule="auto"/>
              <w:ind w:left="360"/>
              <w:jc w:val="both"/>
              <w:rPr>
                <w:rFonts w:ascii="Arial" w:hAnsi="Arial" w:cs="Arial"/>
                <w:color w:val="000000" w:themeColor="text1"/>
                <w:sz w:val="24"/>
                <w:szCs w:val="24"/>
              </w:rPr>
            </w:pPr>
          </w:p>
        </w:tc>
      </w:tr>
      <w:tr w:rsidR="00356C87" w:rsidRPr="007E340E" w14:paraId="66E4A8B3" w14:textId="77777777" w:rsidTr="007E340E">
        <w:trPr>
          <w:trHeight w:val="300"/>
        </w:trPr>
        <w:tc>
          <w:tcPr>
            <w:tcW w:w="3005" w:type="dxa"/>
          </w:tcPr>
          <w:p w14:paraId="3B0807CE" w14:textId="77777777" w:rsidR="00356C87" w:rsidRPr="007E340E" w:rsidRDefault="00356C87"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Increase the PAYE threshold from the current K4,800 to align with the rising cost of living.</w:t>
            </w:r>
          </w:p>
        </w:tc>
        <w:tc>
          <w:tcPr>
            <w:tcW w:w="4503" w:type="dxa"/>
          </w:tcPr>
          <w:p w14:paraId="190E3B03" w14:textId="77777777" w:rsidR="00356C87" w:rsidRPr="007E340E" w:rsidRDefault="00000000" w:rsidP="007E340E">
            <w:pPr>
              <w:spacing w:line="276" w:lineRule="auto"/>
              <w:jc w:val="both"/>
              <w:rPr>
                <w:rFonts w:ascii="Arial" w:hAnsi="Arial" w:cs="Arial"/>
                <w:color w:val="000000" w:themeColor="text1"/>
                <w:sz w:val="24"/>
                <w:szCs w:val="24"/>
              </w:rPr>
            </w:pPr>
            <w:hyperlink r:id="rId14">
              <w:r w:rsidR="00356C87" w:rsidRPr="007E340E">
                <w:rPr>
                  <w:rStyle w:val="Hyperlink"/>
                  <w:rFonts w:ascii="Arial" w:hAnsi="Arial" w:cs="Arial"/>
                  <w:color w:val="000000" w:themeColor="text1"/>
                  <w:sz w:val="24"/>
                  <w:szCs w:val="24"/>
                </w:rPr>
                <w:t>JCTR’s Basic Needs and Nutrition Basket (BNNB)</w:t>
              </w:r>
            </w:hyperlink>
            <w:r w:rsidR="00356C87" w:rsidRPr="007E340E">
              <w:rPr>
                <w:rFonts w:ascii="Arial" w:hAnsi="Arial" w:cs="Arial"/>
                <w:color w:val="000000" w:themeColor="text1"/>
                <w:sz w:val="24"/>
                <w:szCs w:val="24"/>
              </w:rPr>
              <w:t xml:space="preserve"> for the month of February 2023 in Lusaka, stood at K9,278.06 - significantly higher than the K4,800 amount that is untaxed under the current PAYE schedule. </w:t>
            </w:r>
          </w:p>
          <w:p w14:paraId="14884920" w14:textId="77777777" w:rsidR="00356C87" w:rsidRPr="007E340E" w:rsidRDefault="00356C87"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 xml:space="preserve">The current tight fiscal space that is being countered by fiscal consolidation means that resources to scale up social protection and curb rising poverty levels and income inequality are insufficient. </w:t>
            </w:r>
          </w:p>
        </w:tc>
        <w:tc>
          <w:tcPr>
            <w:tcW w:w="6379" w:type="dxa"/>
          </w:tcPr>
          <w:p w14:paraId="115276B7" w14:textId="77777777" w:rsidR="00356C87" w:rsidRPr="007E340E" w:rsidRDefault="00356C87" w:rsidP="007E340E">
            <w:pPr>
              <w:pStyle w:val="ListParagraph"/>
              <w:numPr>
                <w:ilvl w:val="0"/>
                <w:numId w:val="5"/>
              </w:num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 xml:space="preserve">The adjustment would increase the real income of households and would curb social economic challenges resulting from the high cost of living and tight fiscal space that has limited social protection efforts form the government. </w:t>
            </w:r>
          </w:p>
        </w:tc>
      </w:tr>
      <w:tr w:rsidR="001930D2" w:rsidRPr="007E340E" w14:paraId="712E105F" w14:textId="77777777" w:rsidTr="007E340E">
        <w:trPr>
          <w:trHeight w:val="300"/>
        </w:trPr>
        <w:tc>
          <w:tcPr>
            <w:tcW w:w="3005" w:type="dxa"/>
          </w:tcPr>
          <w:p w14:paraId="701C2024" w14:textId="430FB313" w:rsidR="001930D2" w:rsidRPr="007E340E" w:rsidRDefault="001930D2"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lang w:val="en-GB"/>
              </w:rPr>
              <w:t>Remove the special goods surcharge on imported feed ingredients (Proteins, Vitamins and Minerals)</w:t>
            </w:r>
          </w:p>
        </w:tc>
        <w:tc>
          <w:tcPr>
            <w:tcW w:w="4503" w:type="dxa"/>
          </w:tcPr>
          <w:p w14:paraId="020A0955" w14:textId="234F4975" w:rsidR="001930D2" w:rsidRPr="007E340E" w:rsidRDefault="001930D2" w:rsidP="007E340E">
            <w:pPr>
              <w:spacing w:line="276" w:lineRule="auto"/>
              <w:jc w:val="both"/>
              <w:rPr>
                <w:rFonts w:ascii="Arial" w:hAnsi="Arial" w:cs="Arial"/>
                <w:sz w:val="24"/>
                <w:szCs w:val="24"/>
              </w:rPr>
            </w:pPr>
            <w:r w:rsidRPr="007E340E">
              <w:rPr>
                <w:rFonts w:ascii="Arial" w:hAnsi="Arial" w:cs="Arial"/>
                <w:color w:val="000000" w:themeColor="text1"/>
                <w:sz w:val="24"/>
                <w:szCs w:val="24"/>
                <w:lang w:val="en-GB"/>
              </w:rPr>
              <w:t xml:space="preserve">Feed for fish and livestock is expensive beyond ordinary Zambian due to the special goods surcharge on imported feed ingredients (Proteins, Vitamins and Minerals) hence making fish expensive and fewer Zambian engaged in aquaculture. The reduction in the commodity will increase many players in </w:t>
            </w:r>
            <w:r w:rsidRPr="007E340E">
              <w:rPr>
                <w:rFonts w:ascii="Arial" w:hAnsi="Arial" w:cs="Arial"/>
                <w:color w:val="000000" w:themeColor="text1"/>
                <w:sz w:val="24"/>
                <w:szCs w:val="24"/>
                <w:lang w:val="en-GB"/>
              </w:rPr>
              <w:lastRenderedPageBreak/>
              <w:t>the sector turning Zambia into the production to meet demand and expert</w:t>
            </w:r>
          </w:p>
        </w:tc>
        <w:tc>
          <w:tcPr>
            <w:tcW w:w="6379" w:type="dxa"/>
          </w:tcPr>
          <w:p w14:paraId="7DB636E5" w14:textId="46E8EFB0" w:rsidR="001930D2" w:rsidRPr="007E340E" w:rsidRDefault="001930D2" w:rsidP="007E340E">
            <w:pPr>
              <w:pStyle w:val="ListParagraph"/>
              <w:numPr>
                <w:ilvl w:val="0"/>
                <w:numId w:val="5"/>
              </w:num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lastRenderedPageBreak/>
              <w:t xml:space="preserve">Feed for fish and livestock is expensive beyond ordinary Zambian hence making fish expensive and fewer Zambian engaged in aquaculture. The reduction in the commodity will increase many players in the sector turning Zambia into the production. </w:t>
            </w:r>
          </w:p>
          <w:p w14:paraId="5614A5EB" w14:textId="67B3F476" w:rsidR="001930D2" w:rsidRPr="007E340E" w:rsidRDefault="001930D2" w:rsidP="007E340E">
            <w:pPr>
              <w:pStyle w:val="ListParagraph"/>
              <w:numPr>
                <w:ilvl w:val="0"/>
                <w:numId w:val="5"/>
              </w:num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lang w:val="en-GB"/>
              </w:rPr>
              <w:t>Improved production of fish and livestock feed to meet demand and export for country revenue.</w:t>
            </w:r>
          </w:p>
        </w:tc>
      </w:tr>
      <w:tr w:rsidR="00CE1F1E" w:rsidRPr="007E340E" w14:paraId="5EE74367" w14:textId="77777777" w:rsidTr="007E340E">
        <w:trPr>
          <w:trHeight w:val="300"/>
        </w:trPr>
        <w:tc>
          <w:tcPr>
            <w:tcW w:w="3005" w:type="dxa"/>
          </w:tcPr>
          <w:p w14:paraId="31E5A871" w14:textId="4A03FDE8" w:rsidR="00CE1F1E" w:rsidRPr="002117F8" w:rsidRDefault="00CE1F1E" w:rsidP="007E340E">
            <w:pPr>
              <w:spacing w:line="276" w:lineRule="auto"/>
              <w:jc w:val="both"/>
              <w:rPr>
                <w:rFonts w:ascii="Arial" w:hAnsi="Arial" w:cs="Arial"/>
                <w:b/>
                <w:bCs/>
                <w:color w:val="000000" w:themeColor="text1"/>
                <w:sz w:val="24"/>
                <w:szCs w:val="24"/>
                <w:lang w:val="en-GB"/>
              </w:rPr>
            </w:pPr>
            <w:r w:rsidRPr="002117F8">
              <w:rPr>
                <w:rFonts w:ascii="Arial" w:hAnsi="Arial" w:cs="Arial"/>
                <w:b/>
                <w:bCs/>
                <w:color w:val="000000" w:themeColor="text1"/>
                <w:sz w:val="24"/>
                <w:szCs w:val="24"/>
                <w:lang w:val="en-GB"/>
              </w:rPr>
              <w:t>Maintain Suspension of CIT for Persons carrying on business of manufacturing ceramic products for the 2024 financial year</w:t>
            </w:r>
          </w:p>
        </w:tc>
        <w:tc>
          <w:tcPr>
            <w:tcW w:w="4503" w:type="dxa"/>
          </w:tcPr>
          <w:p w14:paraId="527BB311" w14:textId="45C69BA5" w:rsidR="00CE1F1E" w:rsidRPr="00CE1F1E" w:rsidRDefault="00CE1F1E" w:rsidP="007E340E">
            <w:pPr>
              <w:spacing w:line="276" w:lineRule="auto"/>
              <w:jc w:val="both"/>
              <w:rPr>
                <w:rFonts w:ascii="Arial" w:hAnsi="Arial" w:cs="Arial"/>
                <w:color w:val="000000" w:themeColor="text1"/>
                <w:sz w:val="24"/>
                <w:szCs w:val="24"/>
                <w:lang w:val="en-GB"/>
              </w:rPr>
            </w:pPr>
            <w:r w:rsidRPr="00CE1F1E">
              <w:rPr>
                <w:rFonts w:ascii="Arial" w:hAnsi="Arial" w:cs="Arial"/>
                <w:sz w:val="24"/>
                <w:szCs w:val="24"/>
              </w:rPr>
              <w:t>Suspended Corporate Income Tax for persons carrying on business of manufacturing ceramic products for the charge years 2022 and 2023</w:t>
            </w:r>
          </w:p>
        </w:tc>
        <w:tc>
          <w:tcPr>
            <w:tcW w:w="6379" w:type="dxa"/>
          </w:tcPr>
          <w:p w14:paraId="6E917FF8" w14:textId="74FC6B34" w:rsidR="00CE1F1E" w:rsidRPr="00CE1F1E" w:rsidRDefault="00CE1F1E" w:rsidP="007E340E">
            <w:pPr>
              <w:pStyle w:val="ListParagraph"/>
              <w:numPr>
                <w:ilvl w:val="0"/>
                <w:numId w:val="5"/>
              </w:numPr>
              <w:spacing w:line="276" w:lineRule="auto"/>
              <w:jc w:val="both"/>
              <w:rPr>
                <w:rFonts w:ascii="Arial" w:hAnsi="Arial" w:cs="Arial"/>
                <w:color w:val="000000" w:themeColor="text1"/>
                <w:sz w:val="24"/>
                <w:szCs w:val="24"/>
              </w:rPr>
            </w:pPr>
            <w:r w:rsidRPr="00CE1F1E">
              <w:rPr>
                <w:rFonts w:ascii="Arial" w:hAnsi="Arial" w:cs="Arial"/>
                <w:color w:val="000000" w:themeColor="text1"/>
                <w:sz w:val="24"/>
                <w:szCs w:val="24"/>
              </w:rPr>
              <w:t xml:space="preserve">This will further enhance the production of ceramic products and create more jobs </w:t>
            </w:r>
          </w:p>
        </w:tc>
      </w:tr>
      <w:tr w:rsidR="00903EFA" w:rsidRPr="007E340E" w14:paraId="44460F4F" w14:textId="77777777" w:rsidTr="00936B49">
        <w:trPr>
          <w:trHeight w:val="300"/>
        </w:trPr>
        <w:tc>
          <w:tcPr>
            <w:tcW w:w="13887" w:type="dxa"/>
            <w:gridSpan w:val="3"/>
          </w:tcPr>
          <w:p w14:paraId="272149A3" w14:textId="77E37283" w:rsidR="00903EFA" w:rsidRPr="007E340E" w:rsidRDefault="00903EFA"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 xml:space="preserve">                                                                         </w:t>
            </w:r>
          </w:p>
          <w:p w14:paraId="36AC0AA7" w14:textId="0C3A35C8" w:rsidR="00903EFA" w:rsidRPr="007E340E" w:rsidRDefault="00903EFA" w:rsidP="007E340E">
            <w:pPr>
              <w:spacing w:line="276" w:lineRule="auto"/>
              <w:jc w:val="both"/>
              <w:rPr>
                <w:rFonts w:ascii="Arial" w:hAnsi="Arial" w:cs="Arial"/>
                <w:b/>
                <w:bCs/>
                <w:color w:val="000000" w:themeColor="text1"/>
                <w:sz w:val="24"/>
                <w:szCs w:val="24"/>
              </w:rPr>
            </w:pPr>
            <w:r w:rsidRPr="007E340E">
              <w:rPr>
                <w:rFonts w:ascii="Arial" w:hAnsi="Arial" w:cs="Arial"/>
                <w:color w:val="000000" w:themeColor="text1"/>
                <w:sz w:val="24"/>
                <w:szCs w:val="24"/>
              </w:rPr>
              <w:t xml:space="preserve">                  </w:t>
            </w:r>
            <w:r w:rsidR="008C60BF" w:rsidRPr="007E340E">
              <w:rPr>
                <w:rFonts w:ascii="Arial" w:hAnsi="Arial" w:cs="Arial"/>
                <w:color w:val="000000" w:themeColor="text1"/>
                <w:sz w:val="24"/>
                <w:szCs w:val="24"/>
              </w:rPr>
              <w:t xml:space="preserve">             </w:t>
            </w:r>
            <w:r w:rsidRPr="007E340E">
              <w:rPr>
                <w:rFonts w:ascii="Arial" w:hAnsi="Arial" w:cs="Arial"/>
                <w:b/>
                <w:bCs/>
                <w:color w:val="000000" w:themeColor="text1"/>
                <w:sz w:val="24"/>
                <w:szCs w:val="24"/>
              </w:rPr>
              <w:t xml:space="preserve">OTHER PROPOSALS INLINE WITH 8NDP STRATEGIC PRIORITIES </w:t>
            </w:r>
          </w:p>
        </w:tc>
      </w:tr>
      <w:tr w:rsidR="00903EFA" w:rsidRPr="007E340E" w14:paraId="36327737" w14:textId="77777777" w:rsidTr="00827044">
        <w:trPr>
          <w:trHeight w:val="300"/>
        </w:trPr>
        <w:tc>
          <w:tcPr>
            <w:tcW w:w="13887" w:type="dxa"/>
            <w:gridSpan w:val="3"/>
            <w:shd w:val="clear" w:color="auto" w:fill="ED7D31" w:themeFill="accent2"/>
          </w:tcPr>
          <w:p w14:paraId="6F15E657" w14:textId="760B9776" w:rsidR="00903EFA" w:rsidRPr="007E340E" w:rsidRDefault="00903EFA" w:rsidP="007E340E">
            <w:pPr>
              <w:spacing w:line="276" w:lineRule="auto"/>
              <w:jc w:val="both"/>
              <w:rPr>
                <w:rFonts w:ascii="Arial" w:eastAsia="Calibri" w:hAnsi="Arial" w:cs="Arial"/>
                <w:b/>
                <w:color w:val="000000" w:themeColor="text1"/>
                <w:sz w:val="24"/>
                <w:szCs w:val="24"/>
              </w:rPr>
            </w:pPr>
            <w:r w:rsidRPr="007E340E">
              <w:rPr>
                <w:rFonts w:ascii="Arial" w:eastAsia="Calibri" w:hAnsi="Arial" w:cs="Arial"/>
                <w:b/>
                <w:bCs/>
                <w:color w:val="000000" w:themeColor="text1"/>
                <w:sz w:val="24"/>
                <w:szCs w:val="24"/>
              </w:rPr>
              <w:t>STRATEGIC</w:t>
            </w:r>
            <w:r w:rsidR="000B189B" w:rsidRPr="007E340E">
              <w:rPr>
                <w:rFonts w:ascii="Arial" w:eastAsia="Calibri" w:hAnsi="Arial" w:cs="Arial"/>
                <w:b/>
                <w:bCs/>
                <w:color w:val="000000" w:themeColor="text1"/>
                <w:sz w:val="24"/>
                <w:szCs w:val="24"/>
              </w:rPr>
              <w:t xml:space="preserve"> DEVELOPMENT </w:t>
            </w:r>
            <w:proofErr w:type="gramStart"/>
            <w:r w:rsidR="000B189B" w:rsidRPr="007E340E">
              <w:rPr>
                <w:rFonts w:ascii="Arial" w:eastAsia="Calibri" w:hAnsi="Arial" w:cs="Arial"/>
                <w:b/>
                <w:bCs/>
                <w:color w:val="000000" w:themeColor="text1"/>
                <w:sz w:val="24"/>
                <w:szCs w:val="24"/>
              </w:rPr>
              <w:t xml:space="preserve">AREA </w:t>
            </w:r>
            <w:r w:rsidRPr="007E340E">
              <w:rPr>
                <w:rFonts w:ascii="Arial" w:eastAsia="Calibri" w:hAnsi="Arial" w:cs="Arial"/>
                <w:b/>
                <w:bCs/>
                <w:color w:val="000000" w:themeColor="text1"/>
                <w:sz w:val="24"/>
                <w:szCs w:val="24"/>
              </w:rPr>
              <w:t xml:space="preserve"> ONE</w:t>
            </w:r>
            <w:proofErr w:type="gramEnd"/>
            <w:r w:rsidRPr="007E340E">
              <w:rPr>
                <w:rFonts w:ascii="Arial" w:eastAsia="Calibri" w:hAnsi="Arial" w:cs="Arial"/>
                <w:b/>
                <w:bCs/>
                <w:color w:val="000000" w:themeColor="text1"/>
                <w:sz w:val="24"/>
                <w:szCs w:val="24"/>
              </w:rPr>
              <w:t>:  ECONOMIC TRANSFORMATION AND JOB CREATION</w:t>
            </w:r>
          </w:p>
        </w:tc>
      </w:tr>
      <w:tr w:rsidR="00903EFA" w:rsidRPr="007E340E" w14:paraId="4BD4DBA4" w14:textId="77777777" w:rsidTr="007E340E">
        <w:trPr>
          <w:trHeight w:val="300"/>
        </w:trPr>
        <w:tc>
          <w:tcPr>
            <w:tcW w:w="3005" w:type="dxa"/>
          </w:tcPr>
          <w:p w14:paraId="1D973D06" w14:textId="40851FE3" w:rsidR="00903EFA" w:rsidRPr="007E340E" w:rsidRDefault="00903EFA"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PROPOSAL </w:t>
            </w:r>
          </w:p>
        </w:tc>
        <w:tc>
          <w:tcPr>
            <w:tcW w:w="4503" w:type="dxa"/>
          </w:tcPr>
          <w:p w14:paraId="4E0CC62D" w14:textId="39B4FB24" w:rsidR="00903EFA" w:rsidRPr="007E340E" w:rsidRDefault="00903EFA"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CURRENT STATUS </w:t>
            </w:r>
          </w:p>
        </w:tc>
        <w:tc>
          <w:tcPr>
            <w:tcW w:w="6379" w:type="dxa"/>
          </w:tcPr>
          <w:p w14:paraId="5B1B92A0" w14:textId="5D6DE233" w:rsidR="00903EFA" w:rsidRPr="007E340E" w:rsidRDefault="00903EFA"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JUSTIFICATION </w:t>
            </w:r>
          </w:p>
        </w:tc>
      </w:tr>
      <w:tr w:rsidR="008C60BF" w:rsidRPr="007E340E" w14:paraId="2C0791A3" w14:textId="77777777" w:rsidTr="007E340E">
        <w:trPr>
          <w:trHeight w:val="300"/>
        </w:trPr>
        <w:tc>
          <w:tcPr>
            <w:tcW w:w="3005" w:type="dxa"/>
          </w:tcPr>
          <w:p w14:paraId="2879FB21" w14:textId="1F08390F" w:rsidR="008C60BF" w:rsidRPr="007E340E" w:rsidRDefault="008C60BF" w:rsidP="007E340E">
            <w:pPr>
              <w:spacing w:line="276" w:lineRule="auto"/>
              <w:jc w:val="both"/>
              <w:rPr>
                <w:rFonts w:ascii="Arial" w:hAnsi="Arial" w:cs="Arial"/>
                <w:b/>
                <w:bCs/>
                <w:color w:val="000000" w:themeColor="text1"/>
                <w:sz w:val="24"/>
                <w:szCs w:val="24"/>
              </w:rPr>
            </w:pPr>
            <w:r w:rsidRPr="007E340E">
              <w:rPr>
                <w:rFonts w:ascii="Arial" w:hAnsi="Arial" w:cs="Arial"/>
                <w:color w:val="000000" w:themeColor="text1"/>
                <w:sz w:val="24"/>
                <w:szCs w:val="24"/>
              </w:rPr>
              <w:t>Lifting the Ban of Mukula Tree Harvesting and Trading of Mukula Tree</w:t>
            </w:r>
          </w:p>
        </w:tc>
        <w:tc>
          <w:tcPr>
            <w:tcW w:w="4503" w:type="dxa"/>
          </w:tcPr>
          <w:p w14:paraId="6AA3F521" w14:textId="1981B02B" w:rsidR="008C60BF" w:rsidRPr="007E340E" w:rsidRDefault="008C60BF"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The is a ban on Mukula Tree</w:t>
            </w:r>
          </w:p>
        </w:tc>
        <w:tc>
          <w:tcPr>
            <w:tcW w:w="6379" w:type="dxa"/>
          </w:tcPr>
          <w:p w14:paraId="2EFFF285" w14:textId="1F50328C" w:rsidR="008C60BF" w:rsidRPr="007E340E" w:rsidRDefault="008C60BF" w:rsidP="007E340E">
            <w:pPr>
              <w:pStyle w:val="ListParagraph"/>
              <w:numPr>
                <w:ilvl w:val="0"/>
                <w:numId w:val="8"/>
              </w:num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This will create income, jobs and forex for the Government which will in return Boost the National treasuries</w:t>
            </w:r>
          </w:p>
        </w:tc>
      </w:tr>
      <w:tr w:rsidR="000B189B" w:rsidRPr="007E340E" w14:paraId="58C8ED23" w14:textId="77777777" w:rsidTr="00DF7ECC">
        <w:trPr>
          <w:trHeight w:val="624"/>
        </w:trPr>
        <w:tc>
          <w:tcPr>
            <w:tcW w:w="13887" w:type="dxa"/>
            <w:gridSpan w:val="3"/>
            <w:shd w:val="clear" w:color="auto" w:fill="F7CAAC" w:themeFill="accent2" w:themeFillTint="66"/>
          </w:tcPr>
          <w:p w14:paraId="360F9D86" w14:textId="77777777" w:rsidR="000B189B" w:rsidRPr="007E340E" w:rsidRDefault="000B189B" w:rsidP="007E340E">
            <w:pPr>
              <w:spacing w:line="276" w:lineRule="auto"/>
              <w:jc w:val="both"/>
              <w:rPr>
                <w:rFonts w:ascii="Arial" w:hAnsi="Arial" w:cs="Arial"/>
                <w:color w:val="000000" w:themeColor="text1"/>
                <w:sz w:val="24"/>
                <w:szCs w:val="24"/>
              </w:rPr>
            </w:pPr>
          </w:p>
          <w:p w14:paraId="3100F119" w14:textId="1C3CDE51" w:rsidR="000B189B" w:rsidRPr="007E340E" w:rsidRDefault="000B189B"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                                   STRATEGIC DEVELOPMENT AREA TWO: HUMAN AND SOCIAL DEVELOPMENT </w:t>
            </w:r>
          </w:p>
          <w:p w14:paraId="737E8BDF" w14:textId="714C32A9" w:rsidR="000B189B" w:rsidRPr="007E340E" w:rsidRDefault="000B189B" w:rsidP="007E340E">
            <w:pPr>
              <w:spacing w:line="276" w:lineRule="auto"/>
              <w:jc w:val="both"/>
              <w:rPr>
                <w:rFonts w:ascii="Arial" w:hAnsi="Arial" w:cs="Arial"/>
                <w:color w:val="000000" w:themeColor="text1"/>
                <w:sz w:val="24"/>
                <w:szCs w:val="24"/>
              </w:rPr>
            </w:pPr>
          </w:p>
        </w:tc>
      </w:tr>
      <w:tr w:rsidR="000B189B" w:rsidRPr="007E340E" w14:paraId="178E2B1E" w14:textId="77777777" w:rsidTr="007E340E">
        <w:trPr>
          <w:trHeight w:val="300"/>
        </w:trPr>
        <w:tc>
          <w:tcPr>
            <w:tcW w:w="3005" w:type="dxa"/>
          </w:tcPr>
          <w:p w14:paraId="227C1FC6" w14:textId="1A98DE89" w:rsidR="000B189B" w:rsidRPr="007E340E" w:rsidRDefault="000B189B" w:rsidP="007E340E">
            <w:pPr>
              <w:spacing w:line="276" w:lineRule="auto"/>
              <w:jc w:val="both"/>
              <w:rPr>
                <w:rFonts w:ascii="Arial" w:hAnsi="Arial" w:cs="Arial"/>
                <w:b/>
                <w:bCs/>
                <w:color w:val="000000" w:themeColor="text1"/>
                <w:sz w:val="24"/>
                <w:szCs w:val="24"/>
              </w:rPr>
            </w:pPr>
            <w:r w:rsidRPr="007E340E">
              <w:rPr>
                <w:rFonts w:ascii="Arial" w:hAnsi="Arial" w:cs="Arial"/>
                <w:b/>
                <w:bCs/>
                <w:sz w:val="24"/>
                <w:szCs w:val="24"/>
              </w:rPr>
              <w:t xml:space="preserve">PROPOSAL </w:t>
            </w:r>
          </w:p>
        </w:tc>
        <w:tc>
          <w:tcPr>
            <w:tcW w:w="4503" w:type="dxa"/>
          </w:tcPr>
          <w:p w14:paraId="0EDBACF9" w14:textId="462A304C" w:rsidR="000B189B" w:rsidRPr="007E340E" w:rsidRDefault="000B189B" w:rsidP="007E340E">
            <w:pPr>
              <w:spacing w:line="276" w:lineRule="auto"/>
              <w:jc w:val="both"/>
              <w:rPr>
                <w:rFonts w:ascii="Arial" w:hAnsi="Arial" w:cs="Arial"/>
                <w:color w:val="000000" w:themeColor="text1"/>
                <w:sz w:val="24"/>
                <w:szCs w:val="24"/>
              </w:rPr>
            </w:pPr>
            <w:r w:rsidRPr="007E340E">
              <w:rPr>
                <w:rFonts w:ascii="Arial" w:hAnsi="Arial" w:cs="Arial"/>
                <w:b/>
                <w:bCs/>
                <w:sz w:val="24"/>
                <w:szCs w:val="24"/>
              </w:rPr>
              <w:t xml:space="preserve">PROPOSAL </w:t>
            </w:r>
          </w:p>
        </w:tc>
        <w:tc>
          <w:tcPr>
            <w:tcW w:w="6379" w:type="dxa"/>
          </w:tcPr>
          <w:p w14:paraId="1C878F38" w14:textId="1A55D1C2" w:rsidR="000B189B" w:rsidRPr="007E340E" w:rsidRDefault="000B189B" w:rsidP="007E340E">
            <w:pPr>
              <w:pStyle w:val="ListParagraph"/>
              <w:numPr>
                <w:ilvl w:val="0"/>
                <w:numId w:val="8"/>
              </w:numPr>
              <w:spacing w:line="276" w:lineRule="auto"/>
              <w:jc w:val="both"/>
              <w:rPr>
                <w:rFonts w:ascii="Arial" w:hAnsi="Arial" w:cs="Arial"/>
                <w:color w:val="000000" w:themeColor="text1"/>
                <w:sz w:val="24"/>
                <w:szCs w:val="24"/>
              </w:rPr>
            </w:pPr>
            <w:r w:rsidRPr="007E340E">
              <w:rPr>
                <w:rFonts w:ascii="Arial" w:hAnsi="Arial" w:cs="Arial"/>
                <w:b/>
                <w:bCs/>
                <w:sz w:val="24"/>
                <w:szCs w:val="24"/>
              </w:rPr>
              <w:t xml:space="preserve">PROPOSAL </w:t>
            </w:r>
          </w:p>
        </w:tc>
      </w:tr>
      <w:tr w:rsidR="000B189B" w:rsidRPr="007E340E" w14:paraId="42985247" w14:textId="77777777" w:rsidTr="007E340E">
        <w:trPr>
          <w:trHeight w:val="300"/>
        </w:trPr>
        <w:tc>
          <w:tcPr>
            <w:tcW w:w="3005" w:type="dxa"/>
          </w:tcPr>
          <w:p w14:paraId="6B075A61" w14:textId="6D217C78" w:rsidR="000B189B" w:rsidRPr="007E340E" w:rsidRDefault="000B189B"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Increase the national budget allocation (</w:t>
            </w:r>
            <w:hyperlink r:id="rId15">
              <w:r w:rsidRPr="007E340E">
                <w:rPr>
                  <w:rStyle w:val="Hyperlink"/>
                  <w:rFonts w:ascii="Arial" w:hAnsi="Arial" w:cs="Arial"/>
                  <w:b/>
                  <w:bCs/>
                  <w:color w:val="000000" w:themeColor="text1"/>
                  <w:sz w:val="24"/>
                  <w:szCs w:val="24"/>
                </w:rPr>
                <w:t>both the % Share and monetary Size in line with the 4S Framework</w:t>
              </w:r>
            </w:hyperlink>
            <w:r w:rsidRPr="007E340E">
              <w:rPr>
                <w:rFonts w:ascii="Arial" w:hAnsi="Arial" w:cs="Arial"/>
                <w:b/>
                <w:bCs/>
                <w:color w:val="000000" w:themeColor="text1"/>
                <w:sz w:val="24"/>
                <w:szCs w:val="24"/>
              </w:rPr>
              <w:t>) for education to the UNESCO standard of 20% for developing countries.</w:t>
            </w:r>
          </w:p>
        </w:tc>
        <w:tc>
          <w:tcPr>
            <w:tcW w:w="4503" w:type="dxa"/>
          </w:tcPr>
          <w:p w14:paraId="14233826" w14:textId="38B100D4" w:rsidR="000B189B" w:rsidRPr="007E340E" w:rsidRDefault="000B189B"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Currently for 2023, the allocation to education sits at 13.9%, an improvement from the 10.4% in 2022. This allocation is still well below what is required to achieve SDG4.</w:t>
            </w:r>
          </w:p>
        </w:tc>
        <w:tc>
          <w:tcPr>
            <w:tcW w:w="6379" w:type="dxa"/>
          </w:tcPr>
          <w:p w14:paraId="262DB57D" w14:textId="79799AF5" w:rsidR="000B189B" w:rsidRPr="007E340E" w:rsidRDefault="000B189B" w:rsidP="007E340E">
            <w:pPr>
              <w:pStyle w:val="ListParagraph"/>
              <w:numPr>
                <w:ilvl w:val="0"/>
                <w:numId w:val="8"/>
              </w:num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Increase the national budget allocation (</w:t>
            </w:r>
            <w:hyperlink r:id="rId16">
              <w:r w:rsidRPr="007E340E">
                <w:rPr>
                  <w:rStyle w:val="Hyperlink"/>
                  <w:rFonts w:ascii="Arial" w:hAnsi="Arial" w:cs="Arial"/>
                  <w:color w:val="000000" w:themeColor="text1"/>
                  <w:sz w:val="24"/>
                  <w:szCs w:val="24"/>
                </w:rPr>
                <w:t>both the % Share and monetary Size in line with the 4S Framework</w:t>
              </w:r>
            </w:hyperlink>
            <w:r w:rsidRPr="007E340E">
              <w:rPr>
                <w:rFonts w:ascii="Arial" w:hAnsi="Arial" w:cs="Arial"/>
                <w:color w:val="000000" w:themeColor="text1"/>
                <w:sz w:val="24"/>
                <w:szCs w:val="24"/>
              </w:rPr>
              <w:t>) for education to the UNESCO standard of 20% for developing countries.</w:t>
            </w:r>
          </w:p>
        </w:tc>
      </w:tr>
      <w:tr w:rsidR="000B189B" w:rsidRPr="007E340E" w14:paraId="08823DA2" w14:textId="77777777" w:rsidTr="007E340E">
        <w:trPr>
          <w:trHeight w:val="300"/>
        </w:trPr>
        <w:tc>
          <w:tcPr>
            <w:tcW w:w="3005" w:type="dxa"/>
          </w:tcPr>
          <w:p w14:paraId="297F2113" w14:textId="7CEC561A" w:rsidR="000B189B" w:rsidRPr="007E340E" w:rsidRDefault="000B189B" w:rsidP="007E340E">
            <w:pPr>
              <w:spacing w:line="276" w:lineRule="auto"/>
              <w:jc w:val="both"/>
              <w:rPr>
                <w:rFonts w:ascii="Arial" w:hAnsi="Arial" w:cs="Arial"/>
                <w:b/>
                <w:bCs/>
                <w:color w:val="000000" w:themeColor="text1"/>
                <w:sz w:val="24"/>
                <w:szCs w:val="24"/>
              </w:rPr>
            </w:pPr>
            <w:r w:rsidRPr="007E340E">
              <w:rPr>
                <w:rFonts w:ascii="Arial" w:hAnsi="Arial" w:cs="Arial"/>
                <w:b/>
                <w:bCs/>
                <w:sz w:val="24"/>
                <w:szCs w:val="24"/>
              </w:rPr>
              <w:lastRenderedPageBreak/>
              <w:t>Budget for increased allocation to the ministry of justice and ministry of education to review and revise the Education Act of 2011 to enshrine education financing benchmarks into the Education Act</w:t>
            </w:r>
          </w:p>
        </w:tc>
        <w:tc>
          <w:tcPr>
            <w:tcW w:w="4503" w:type="dxa"/>
          </w:tcPr>
          <w:p w14:paraId="0D24A721" w14:textId="11B01185" w:rsidR="000B189B" w:rsidRPr="007E340E" w:rsidRDefault="000B189B" w:rsidP="007E340E">
            <w:pPr>
              <w:spacing w:line="276" w:lineRule="auto"/>
              <w:jc w:val="both"/>
              <w:rPr>
                <w:rFonts w:ascii="Arial" w:hAnsi="Arial" w:cs="Arial"/>
                <w:color w:val="000000" w:themeColor="text1"/>
                <w:sz w:val="24"/>
                <w:szCs w:val="24"/>
              </w:rPr>
            </w:pPr>
            <w:r w:rsidRPr="007E340E">
              <w:rPr>
                <w:rFonts w:ascii="Arial" w:hAnsi="Arial" w:cs="Arial"/>
                <w:sz w:val="24"/>
                <w:szCs w:val="24"/>
              </w:rPr>
              <w:t xml:space="preserve">The main legislation on education is the Education Act 2011, which identifies each person’s rights to early childhood education, basic </w:t>
            </w:r>
            <w:proofErr w:type="gramStart"/>
            <w:r w:rsidRPr="007E340E">
              <w:rPr>
                <w:rFonts w:ascii="Arial" w:hAnsi="Arial" w:cs="Arial"/>
                <w:sz w:val="24"/>
                <w:szCs w:val="24"/>
              </w:rPr>
              <w:t>education</w:t>
            </w:r>
            <w:proofErr w:type="gramEnd"/>
            <w:r w:rsidRPr="007E340E">
              <w:rPr>
                <w:rFonts w:ascii="Arial" w:hAnsi="Arial" w:cs="Arial"/>
                <w:sz w:val="24"/>
                <w:szCs w:val="24"/>
              </w:rPr>
              <w:t xml:space="preserve"> and high school education. Since 2006, government education policies have focused on access, but there is a recent shift towards improving quality of education in addition to addressing accessibility issues.</w:t>
            </w:r>
          </w:p>
        </w:tc>
        <w:tc>
          <w:tcPr>
            <w:tcW w:w="6379" w:type="dxa"/>
          </w:tcPr>
          <w:p w14:paraId="522C4C91" w14:textId="2A9CC85A" w:rsidR="000B189B" w:rsidRPr="007E340E" w:rsidRDefault="000B189B" w:rsidP="007E340E">
            <w:pPr>
              <w:pStyle w:val="ListParagraph"/>
              <w:numPr>
                <w:ilvl w:val="0"/>
                <w:numId w:val="8"/>
              </w:numPr>
              <w:spacing w:line="276" w:lineRule="auto"/>
              <w:jc w:val="both"/>
              <w:rPr>
                <w:rFonts w:ascii="Arial" w:hAnsi="Arial" w:cs="Arial"/>
                <w:color w:val="000000" w:themeColor="text1"/>
                <w:sz w:val="24"/>
                <w:szCs w:val="24"/>
              </w:rPr>
            </w:pPr>
            <w:r w:rsidRPr="007E340E">
              <w:rPr>
                <w:rFonts w:ascii="Arial" w:hAnsi="Arial" w:cs="Arial"/>
                <w:sz w:val="24"/>
                <w:szCs w:val="24"/>
              </w:rPr>
              <w:t>Budget for increased allocation to the ministry of justice and ministry of education to review and revise the Education Act of 2011 to enshrine education financing benchmarks into the Education Act</w:t>
            </w:r>
          </w:p>
        </w:tc>
      </w:tr>
      <w:tr w:rsidR="000B189B" w:rsidRPr="007E340E" w14:paraId="79BFFD0A" w14:textId="77777777" w:rsidTr="00DF7ECC">
        <w:trPr>
          <w:trHeight w:val="300"/>
        </w:trPr>
        <w:tc>
          <w:tcPr>
            <w:tcW w:w="13887" w:type="dxa"/>
            <w:gridSpan w:val="3"/>
            <w:shd w:val="clear" w:color="auto" w:fill="F7CAAC" w:themeFill="accent2" w:themeFillTint="66"/>
          </w:tcPr>
          <w:p w14:paraId="33158D27" w14:textId="77777777" w:rsidR="00DF7ECC" w:rsidRPr="007E340E" w:rsidRDefault="001930D2"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 xml:space="preserve">                                  </w:t>
            </w:r>
            <w:r w:rsidR="00DF7ECC" w:rsidRPr="007E340E">
              <w:rPr>
                <w:rFonts w:ascii="Arial" w:hAnsi="Arial" w:cs="Arial"/>
                <w:color w:val="000000" w:themeColor="text1"/>
                <w:sz w:val="24"/>
                <w:szCs w:val="24"/>
              </w:rPr>
              <w:t xml:space="preserve">  </w:t>
            </w:r>
          </w:p>
          <w:p w14:paraId="5CD88700" w14:textId="33377C6A" w:rsidR="000B189B" w:rsidRPr="007E340E" w:rsidRDefault="00DF7ECC"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                   </w:t>
            </w:r>
            <w:r w:rsidR="000B189B" w:rsidRPr="007E340E">
              <w:rPr>
                <w:rFonts w:ascii="Arial" w:hAnsi="Arial" w:cs="Arial"/>
                <w:b/>
                <w:bCs/>
                <w:color w:val="000000" w:themeColor="text1"/>
                <w:sz w:val="24"/>
                <w:szCs w:val="24"/>
              </w:rPr>
              <w:t xml:space="preserve">STRATEGIC DEVELOPMENT AREA THREE: ENVIRONMENTAL SUSTAINABILITY </w:t>
            </w:r>
          </w:p>
        </w:tc>
      </w:tr>
      <w:tr w:rsidR="000B189B" w:rsidRPr="007E340E" w14:paraId="0F519170" w14:textId="77777777" w:rsidTr="007E340E">
        <w:trPr>
          <w:trHeight w:val="300"/>
        </w:trPr>
        <w:tc>
          <w:tcPr>
            <w:tcW w:w="3005" w:type="dxa"/>
          </w:tcPr>
          <w:p w14:paraId="7DFF18F0" w14:textId="2ADF0DF1" w:rsidR="000B189B" w:rsidRPr="007E340E" w:rsidRDefault="000B189B" w:rsidP="007E340E">
            <w:pPr>
              <w:spacing w:line="276" w:lineRule="auto"/>
              <w:jc w:val="both"/>
              <w:rPr>
                <w:rFonts w:ascii="Arial" w:hAnsi="Arial" w:cs="Arial"/>
                <w:b/>
                <w:bCs/>
                <w:color w:val="000000" w:themeColor="text1"/>
                <w:sz w:val="24"/>
                <w:szCs w:val="24"/>
              </w:rPr>
            </w:pPr>
            <w:r w:rsidRPr="007E340E">
              <w:rPr>
                <w:rFonts w:ascii="Arial" w:hAnsi="Arial" w:cs="Arial"/>
                <w:b/>
                <w:bCs/>
                <w:sz w:val="24"/>
                <w:szCs w:val="24"/>
              </w:rPr>
              <w:t xml:space="preserve">PROPOSAL </w:t>
            </w:r>
          </w:p>
        </w:tc>
        <w:tc>
          <w:tcPr>
            <w:tcW w:w="4503" w:type="dxa"/>
          </w:tcPr>
          <w:p w14:paraId="3E6CBC34" w14:textId="4A26AA2C" w:rsidR="000B189B" w:rsidRPr="007E340E" w:rsidRDefault="000B189B" w:rsidP="007E340E">
            <w:pPr>
              <w:spacing w:line="276" w:lineRule="auto"/>
              <w:jc w:val="both"/>
              <w:rPr>
                <w:rFonts w:ascii="Arial" w:hAnsi="Arial" w:cs="Arial"/>
                <w:b/>
                <w:bCs/>
                <w:color w:val="000000" w:themeColor="text1"/>
                <w:sz w:val="24"/>
                <w:szCs w:val="24"/>
              </w:rPr>
            </w:pPr>
            <w:r w:rsidRPr="007E340E">
              <w:rPr>
                <w:rFonts w:ascii="Arial" w:hAnsi="Arial" w:cs="Arial"/>
                <w:b/>
                <w:bCs/>
                <w:sz w:val="24"/>
                <w:szCs w:val="24"/>
              </w:rPr>
              <w:t xml:space="preserve">CURRENT STATUS </w:t>
            </w:r>
          </w:p>
        </w:tc>
        <w:tc>
          <w:tcPr>
            <w:tcW w:w="6379" w:type="dxa"/>
          </w:tcPr>
          <w:p w14:paraId="6C7CEB08" w14:textId="638A2F08" w:rsidR="000B189B" w:rsidRPr="007E340E" w:rsidRDefault="001930D2" w:rsidP="007E340E">
            <w:pPr>
              <w:spacing w:line="276" w:lineRule="auto"/>
              <w:jc w:val="both"/>
              <w:rPr>
                <w:rFonts w:ascii="Arial" w:hAnsi="Arial" w:cs="Arial"/>
                <w:b/>
                <w:bCs/>
                <w:color w:val="000000" w:themeColor="text1"/>
                <w:sz w:val="24"/>
                <w:szCs w:val="24"/>
              </w:rPr>
            </w:pPr>
            <w:r w:rsidRPr="007E340E">
              <w:rPr>
                <w:rFonts w:ascii="Arial" w:hAnsi="Arial" w:cs="Arial"/>
                <w:b/>
                <w:bCs/>
                <w:sz w:val="24"/>
                <w:szCs w:val="24"/>
              </w:rPr>
              <w:t xml:space="preserve">                               </w:t>
            </w:r>
            <w:r w:rsidR="000B189B" w:rsidRPr="007E340E">
              <w:rPr>
                <w:rFonts w:ascii="Arial" w:hAnsi="Arial" w:cs="Arial"/>
                <w:b/>
                <w:bCs/>
                <w:sz w:val="24"/>
                <w:szCs w:val="24"/>
              </w:rPr>
              <w:t xml:space="preserve">JUSTIFICATION </w:t>
            </w:r>
          </w:p>
        </w:tc>
      </w:tr>
      <w:tr w:rsidR="001930D2" w:rsidRPr="007E340E" w14:paraId="50DCF451" w14:textId="77777777" w:rsidTr="007E340E">
        <w:trPr>
          <w:trHeight w:val="300"/>
        </w:trPr>
        <w:tc>
          <w:tcPr>
            <w:tcW w:w="3005" w:type="dxa"/>
          </w:tcPr>
          <w:p w14:paraId="67448F75" w14:textId="06F0CDEC" w:rsidR="001930D2" w:rsidRPr="007E340E" w:rsidRDefault="001930D2"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lang w:val="en-GB"/>
              </w:rPr>
              <w:t>Low budgetary allocation towards Environmental Protection</w:t>
            </w:r>
          </w:p>
        </w:tc>
        <w:tc>
          <w:tcPr>
            <w:tcW w:w="4503" w:type="dxa"/>
          </w:tcPr>
          <w:p w14:paraId="4C405F62" w14:textId="5F187B86" w:rsidR="001930D2" w:rsidRPr="007E340E" w:rsidRDefault="001930D2"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lang w:val="en-ZA"/>
              </w:rPr>
              <w:t>Increase the allocation at least 4%</w:t>
            </w:r>
          </w:p>
        </w:tc>
        <w:tc>
          <w:tcPr>
            <w:tcW w:w="6379" w:type="dxa"/>
          </w:tcPr>
          <w:p w14:paraId="5C98114F" w14:textId="4947A4A3" w:rsidR="001930D2" w:rsidRPr="007E340E" w:rsidRDefault="001930D2"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lang w:val="en-GB"/>
              </w:rPr>
              <w:t>More climate change programs and projects in the country.</w:t>
            </w:r>
          </w:p>
        </w:tc>
      </w:tr>
      <w:tr w:rsidR="001930D2" w:rsidRPr="007E340E" w14:paraId="4F0486C8" w14:textId="77777777" w:rsidTr="007E340E">
        <w:trPr>
          <w:trHeight w:val="300"/>
        </w:trPr>
        <w:tc>
          <w:tcPr>
            <w:tcW w:w="3005" w:type="dxa"/>
          </w:tcPr>
          <w:p w14:paraId="5B45D291" w14:textId="5C83DCB3" w:rsidR="001930D2" w:rsidRPr="007E340E" w:rsidRDefault="001930D2"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lang w:val="en-GB"/>
              </w:rPr>
              <w:t>Actualization of the Climate Change Act</w:t>
            </w:r>
          </w:p>
        </w:tc>
        <w:tc>
          <w:tcPr>
            <w:tcW w:w="4503" w:type="dxa"/>
          </w:tcPr>
          <w:p w14:paraId="20ABE530" w14:textId="49B6B6EA" w:rsidR="001930D2" w:rsidRPr="007E340E" w:rsidRDefault="001930D2"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lang w:val="en-ZA"/>
              </w:rPr>
              <w:t>Allocate a budget towards actualizing the Bill into Law as it has been long overdue</w:t>
            </w:r>
          </w:p>
        </w:tc>
        <w:tc>
          <w:tcPr>
            <w:tcW w:w="6379" w:type="dxa"/>
          </w:tcPr>
          <w:p w14:paraId="7D84141D" w14:textId="0193FA77" w:rsidR="001930D2" w:rsidRPr="007E340E" w:rsidRDefault="001930D2"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lang w:val="en-GB"/>
              </w:rPr>
              <w:t>The Law will facilitate the setup of a Climate Change Fund which will be a mode of resource mobilization towards climate financing</w:t>
            </w:r>
          </w:p>
        </w:tc>
      </w:tr>
      <w:tr w:rsidR="001930D2" w:rsidRPr="007E340E" w14:paraId="1DF49652" w14:textId="77777777" w:rsidTr="00DF7ECC">
        <w:trPr>
          <w:trHeight w:val="300"/>
        </w:trPr>
        <w:tc>
          <w:tcPr>
            <w:tcW w:w="13887" w:type="dxa"/>
            <w:gridSpan w:val="3"/>
            <w:shd w:val="clear" w:color="auto" w:fill="F7CAAC" w:themeFill="accent2" w:themeFillTint="66"/>
          </w:tcPr>
          <w:p w14:paraId="1628DA9A" w14:textId="77777777" w:rsidR="00DF7ECC" w:rsidRPr="007E340E" w:rsidRDefault="001930D2"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                                     </w:t>
            </w:r>
          </w:p>
          <w:p w14:paraId="74518442" w14:textId="698F6A7E" w:rsidR="001930D2" w:rsidRPr="007E340E" w:rsidRDefault="00DF7ECC"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                        </w:t>
            </w:r>
            <w:r w:rsidR="001930D2" w:rsidRPr="007E340E">
              <w:rPr>
                <w:rFonts w:ascii="Arial" w:hAnsi="Arial" w:cs="Arial"/>
                <w:b/>
                <w:bCs/>
                <w:color w:val="000000" w:themeColor="text1"/>
                <w:sz w:val="24"/>
                <w:szCs w:val="24"/>
              </w:rPr>
              <w:t>STRATEGIC DEVELOPMENT AREA FOUR: GOOD GOVERNANCE ENVIRONMENT</w:t>
            </w:r>
          </w:p>
          <w:p w14:paraId="103A0C3F" w14:textId="070439B6" w:rsidR="00DF7ECC" w:rsidRPr="007E340E" w:rsidRDefault="00DF7ECC" w:rsidP="007E340E">
            <w:pPr>
              <w:spacing w:line="276" w:lineRule="auto"/>
              <w:jc w:val="both"/>
              <w:rPr>
                <w:rFonts w:ascii="Arial" w:hAnsi="Arial" w:cs="Arial"/>
                <w:b/>
                <w:bCs/>
                <w:color w:val="000000" w:themeColor="text1"/>
                <w:sz w:val="24"/>
                <w:szCs w:val="24"/>
              </w:rPr>
            </w:pPr>
          </w:p>
        </w:tc>
      </w:tr>
      <w:tr w:rsidR="001930D2" w:rsidRPr="007E340E" w14:paraId="10265EE0" w14:textId="77777777" w:rsidTr="007E340E">
        <w:trPr>
          <w:trHeight w:val="300"/>
        </w:trPr>
        <w:tc>
          <w:tcPr>
            <w:tcW w:w="3005" w:type="dxa"/>
          </w:tcPr>
          <w:p w14:paraId="7EC19265" w14:textId="6F188860" w:rsidR="001930D2" w:rsidRPr="007E340E" w:rsidRDefault="001930D2" w:rsidP="007E340E">
            <w:pPr>
              <w:spacing w:line="276" w:lineRule="auto"/>
              <w:jc w:val="both"/>
              <w:rPr>
                <w:rFonts w:ascii="Arial" w:hAnsi="Arial" w:cs="Arial"/>
                <w:b/>
                <w:bCs/>
                <w:color w:val="000000" w:themeColor="text1"/>
                <w:sz w:val="24"/>
                <w:szCs w:val="24"/>
              </w:rPr>
            </w:pPr>
            <w:r w:rsidRPr="007E340E">
              <w:rPr>
                <w:rFonts w:ascii="Arial" w:hAnsi="Arial" w:cs="Arial"/>
                <w:b/>
                <w:bCs/>
                <w:sz w:val="24"/>
                <w:szCs w:val="24"/>
              </w:rPr>
              <w:t xml:space="preserve">PROPOSAL </w:t>
            </w:r>
          </w:p>
        </w:tc>
        <w:tc>
          <w:tcPr>
            <w:tcW w:w="4503" w:type="dxa"/>
          </w:tcPr>
          <w:p w14:paraId="631A227A" w14:textId="1B34CE9A" w:rsidR="001930D2" w:rsidRPr="007E340E" w:rsidRDefault="001930D2" w:rsidP="007E340E">
            <w:pPr>
              <w:spacing w:line="276" w:lineRule="auto"/>
              <w:jc w:val="both"/>
              <w:rPr>
                <w:rFonts w:ascii="Arial" w:hAnsi="Arial" w:cs="Arial"/>
                <w:color w:val="000000" w:themeColor="text1"/>
                <w:sz w:val="24"/>
                <w:szCs w:val="24"/>
              </w:rPr>
            </w:pPr>
            <w:r w:rsidRPr="007E340E">
              <w:rPr>
                <w:rFonts w:ascii="Arial" w:hAnsi="Arial" w:cs="Arial"/>
                <w:b/>
                <w:bCs/>
                <w:sz w:val="24"/>
                <w:szCs w:val="24"/>
              </w:rPr>
              <w:t xml:space="preserve">CURRENT STATUS </w:t>
            </w:r>
          </w:p>
        </w:tc>
        <w:tc>
          <w:tcPr>
            <w:tcW w:w="6379" w:type="dxa"/>
          </w:tcPr>
          <w:p w14:paraId="7CA990D6" w14:textId="1D03803C" w:rsidR="001930D2" w:rsidRPr="007E340E" w:rsidRDefault="001930D2" w:rsidP="007E340E">
            <w:pPr>
              <w:spacing w:line="276" w:lineRule="auto"/>
              <w:jc w:val="both"/>
              <w:rPr>
                <w:rFonts w:ascii="Arial" w:hAnsi="Arial" w:cs="Arial"/>
                <w:color w:val="000000" w:themeColor="text1"/>
                <w:sz w:val="24"/>
                <w:szCs w:val="24"/>
              </w:rPr>
            </w:pPr>
            <w:r w:rsidRPr="007E340E">
              <w:rPr>
                <w:rFonts w:ascii="Arial" w:hAnsi="Arial" w:cs="Arial"/>
                <w:b/>
                <w:bCs/>
                <w:sz w:val="24"/>
                <w:szCs w:val="24"/>
              </w:rPr>
              <w:t xml:space="preserve">                               JUSTIFICATION </w:t>
            </w:r>
          </w:p>
        </w:tc>
      </w:tr>
      <w:tr w:rsidR="001930D2" w:rsidRPr="007E340E" w14:paraId="7FBD641B" w14:textId="77777777" w:rsidTr="007E340E">
        <w:trPr>
          <w:trHeight w:val="300"/>
        </w:trPr>
        <w:tc>
          <w:tcPr>
            <w:tcW w:w="3005" w:type="dxa"/>
          </w:tcPr>
          <w:p w14:paraId="1E3B7B48" w14:textId="547A82EE" w:rsidR="001930D2" w:rsidRPr="007E340E" w:rsidRDefault="00DF7ECC" w:rsidP="007E340E">
            <w:pPr>
              <w:spacing w:line="276" w:lineRule="auto"/>
              <w:jc w:val="both"/>
              <w:rPr>
                <w:rFonts w:ascii="Arial" w:hAnsi="Arial" w:cs="Arial"/>
                <w:b/>
                <w:bCs/>
                <w:color w:val="000000" w:themeColor="text1"/>
                <w:sz w:val="24"/>
                <w:szCs w:val="24"/>
              </w:rPr>
            </w:pPr>
            <w:r w:rsidRPr="007E340E">
              <w:rPr>
                <w:rFonts w:ascii="Arial" w:hAnsi="Arial" w:cs="Arial"/>
                <w:b/>
                <w:bCs/>
                <w:color w:val="000000" w:themeColor="text1"/>
                <w:sz w:val="24"/>
                <w:szCs w:val="24"/>
              </w:rPr>
              <w:t xml:space="preserve">Provide financing towards the Constitution reform process </w:t>
            </w:r>
          </w:p>
        </w:tc>
        <w:tc>
          <w:tcPr>
            <w:tcW w:w="4503" w:type="dxa"/>
          </w:tcPr>
          <w:p w14:paraId="6AF54295" w14:textId="61A4F6DB" w:rsidR="001930D2" w:rsidRPr="007E340E" w:rsidRDefault="00DF7ECC"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 xml:space="preserve">Zambia </w:t>
            </w:r>
            <w:r w:rsidR="00F6434D">
              <w:rPr>
                <w:rFonts w:ascii="Arial" w:hAnsi="Arial" w:cs="Arial"/>
                <w:color w:val="000000" w:themeColor="text1"/>
                <w:sz w:val="24"/>
                <w:szCs w:val="24"/>
              </w:rPr>
              <w:t xml:space="preserve">is planning to undertake a comprehensive </w:t>
            </w:r>
            <w:r w:rsidRPr="007E340E">
              <w:rPr>
                <w:rFonts w:ascii="Arial" w:hAnsi="Arial" w:cs="Arial"/>
                <w:color w:val="000000" w:themeColor="text1"/>
                <w:sz w:val="24"/>
                <w:szCs w:val="24"/>
              </w:rPr>
              <w:t xml:space="preserve">constitutional reform </w:t>
            </w:r>
          </w:p>
        </w:tc>
        <w:tc>
          <w:tcPr>
            <w:tcW w:w="6379" w:type="dxa"/>
          </w:tcPr>
          <w:p w14:paraId="5E084EA1" w14:textId="65E495EB" w:rsidR="001930D2" w:rsidRPr="007E340E" w:rsidRDefault="00DF7ECC" w:rsidP="007E340E">
            <w:pPr>
              <w:spacing w:line="276" w:lineRule="auto"/>
              <w:jc w:val="both"/>
              <w:rPr>
                <w:rFonts w:ascii="Arial" w:hAnsi="Arial" w:cs="Arial"/>
                <w:color w:val="000000" w:themeColor="text1"/>
                <w:sz w:val="24"/>
                <w:szCs w:val="24"/>
              </w:rPr>
            </w:pPr>
            <w:r w:rsidRPr="007E340E">
              <w:rPr>
                <w:rFonts w:ascii="Arial" w:hAnsi="Arial" w:cs="Arial"/>
                <w:color w:val="000000" w:themeColor="text1"/>
                <w:sz w:val="24"/>
                <w:szCs w:val="24"/>
              </w:rPr>
              <w:t xml:space="preserve"> There is need for the country to embark on a comprehensive constitution reform process which needs to be done before the 2026 General Elections. This will </w:t>
            </w:r>
            <w:r w:rsidRPr="007E340E">
              <w:rPr>
                <w:rFonts w:ascii="Arial" w:hAnsi="Arial" w:cs="Arial"/>
                <w:color w:val="000000" w:themeColor="text1"/>
                <w:sz w:val="24"/>
                <w:szCs w:val="24"/>
              </w:rPr>
              <w:lastRenderedPageBreak/>
              <w:t xml:space="preserve">ensure that the Constitution reform process is done </w:t>
            </w:r>
            <w:r w:rsidR="00F6434D">
              <w:rPr>
                <w:rFonts w:ascii="Arial" w:hAnsi="Arial" w:cs="Arial"/>
                <w:color w:val="000000" w:themeColor="text1"/>
                <w:sz w:val="24"/>
                <w:szCs w:val="24"/>
              </w:rPr>
              <w:t xml:space="preserve">transparently without political </w:t>
            </w:r>
            <w:r w:rsidR="00340233">
              <w:rPr>
                <w:rFonts w:ascii="Arial" w:hAnsi="Arial" w:cs="Arial"/>
                <w:color w:val="000000" w:themeColor="text1"/>
                <w:sz w:val="24"/>
                <w:szCs w:val="24"/>
              </w:rPr>
              <w:t xml:space="preserve">influence. </w:t>
            </w:r>
          </w:p>
        </w:tc>
      </w:tr>
    </w:tbl>
    <w:p w14:paraId="4873FD03" w14:textId="57C7D1D6" w:rsidR="004E275C" w:rsidRPr="00DF7ECC" w:rsidRDefault="004E275C" w:rsidP="007E340E">
      <w:pPr>
        <w:spacing w:line="276" w:lineRule="auto"/>
        <w:jc w:val="both"/>
        <w:rPr>
          <w:rFonts w:ascii="Arial" w:hAnsi="Arial" w:cs="Arial"/>
          <w:color w:val="000000" w:themeColor="text1"/>
          <w:sz w:val="24"/>
          <w:szCs w:val="24"/>
        </w:rPr>
      </w:pPr>
    </w:p>
    <w:p w14:paraId="24278215" w14:textId="77777777" w:rsidR="00825415" w:rsidRPr="00DF7ECC" w:rsidRDefault="00825415" w:rsidP="00DF7ECC">
      <w:pPr>
        <w:jc w:val="both"/>
        <w:rPr>
          <w:rFonts w:ascii="Arial" w:hAnsi="Arial" w:cs="Arial"/>
          <w:b/>
          <w:bCs/>
          <w:color w:val="000000" w:themeColor="text1"/>
          <w:sz w:val="24"/>
          <w:szCs w:val="24"/>
          <w:u w:val="single"/>
        </w:rPr>
      </w:pPr>
    </w:p>
    <w:p w14:paraId="4F0BF4D7" w14:textId="77777777" w:rsidR="00825415" w:rsidRPr="00DF7ECC" w:rsidRDefault="00825415" w:rsidP="00DF7ECC">
      <w:pPr>
        <w:jc w:val="both"/>
        <w:rPr>
          <w:rFonts w:ascii="Arial" w:hAnsi="Arial" w:cs="Arial"/>
          <w:b/>
          <w:bCs/>
          <w:color w:val="000000" w:themeColor="text1"/>
          <w:sz w:val="24"/>
          <w:szCs w:val="24"/>
          <w:u w:val="single"/>
        </w:rPr>
      </w:pPr>
    </w:p>
    <w:sectPr w:rsidR="00825415" w:rsidRPr="00DF7ECC" w:rsidSect="000C3AE8">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C963" w14:textId="77777777" w:rsidR="00567A75" w:rsidRDefault="00567A75" w:rsidP="00DF7ECC">
      <w:pPr>
        <w:spacing w:after="0" w:line="240" w:lineRule="auto"/>
      </w:pPr>
      <w:r>
        <w:separator/>
      </w:r>
    </w:p>
  </w:endnote>
  <w:endnote w:type="continuationSeparator" w:id="0">
    <w:p w14:paraId="4C1AC3B2" w14:textId="77777777" w:rsidR="00567A75" w:rsidRDefault="00567A75" w:rsidP="00DF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184173"/>
      <w:docPartObj>
        <w:docPartGallery w:val="Page Numbers (Bottom of Page)"/>
        <w:docPartUnique/>
      </w:docPartObj>
    </w:sdtPr>
    <w:sdtEndPr>
      <w:rPr>
        <w:noProof/>
      </w:rPr>
    </w:sdtEndPr>
    <w:sdtContent>
      <w:p w14:paraId="53D8C27D" w14:textId="275B0588" w:rsidR="00DF7ECC" w:rsidRDefault="00DF7E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F9947" w14:textId="77777777" w:rsidR="00DF7ECC" w:rsidRDefault="00DF7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B624" w14:textId="77777777" w:rsidR="00567A75" w:rsidRDefault="00567A75" w:rsidP="00DF7ECC">
      <w:pPr>
        <w:spacing w:after="0" w:line="240" w:lineRule="auto"/>
      </w:pPr>
      <w:r>
        <w:separator/>
      </w:r>
    </w:p>
  </w:footnote>
  <w:footnote w:type="continuationSeparator" w:id="0">
    <w:p w14:paraId="08E1DA8D" w14:textId="77777777" w:rsidR="00567A75" w:rsidRDefault="00567A75" w:rsidP="00DF7EC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1B5"/>
    <w:multiLevelType w:val="hybridMultilevel"/>
    <w:tmpl w:val="B99E87C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276C0ECD"/>
    <w:multiLevelType w:val="hybridMultilevel"/>
    <w:tmpl w:val="8AE2A19A"/>
    <w:lvl w:ilvl="0" w:tplc="FFFFFFFF">
      <w:start w:val="1"/>
      <w:numFmt w:val="bullet"/>
      <w:lvlText w:val="-"/>
      <w:lvlJc w:val="left"/>
      <w:pPr>
        <w:ind w:left="360" w:hanging="360"/>
      </w:pPr>
      <w:rPr>
        <w:rFonts w:ascii="Arial" w:hAnsi="Aria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63A0"/>
    <w:multiLevelType w:val="hybridMultilevel"/>
    <w:tmpl w:val="5B0C46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451B9B"/>
    <w:multiLevelType w:val="hybridMultilevel"/>
    <w:tmpl w:val="330EF25C"/>
    <w:lvl w:ilvl="0" w:tplc="3014ED36">
      <w:start w:val="3"/>
      <w:numFmt w:val="bullet"/>
      <w:lvlText w:val="-"/>
      <w:lvlJc w:val="left"/>
      <w:pPr>
        <w:ind w:left="360" w:hanging="360"/>
      </w:pPr>
      <w:rPr>
        <w:rFonts w:ascii="Arial" w:eastAsia="Times New Roman" w:hAnsi="Arial" w:cs="Aria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C25A"/>
    <w:multiLevelType w:val="hybridMultilevel"/>
    <w:tmpl w:val="361067BC"/>
    <w:lvl w:ilvl="0" w:tplc="11D69084">
      <w:start w:val="1"/>
      <w:numFmt w:val="bullet"/>
      <w:lvlText w:val="-"/>
      <w:lvlJc w:val="left"/>
      <w:pPr>
        <w:ind w:left="720" w:hanging="360"/>
      </w:pPr>
      <w:rPr>
        <w:rFonts w:ascii="Arial" w:hAnsi="Arial" w:hint="default"/>
      </w:rPr>
    </w:lvl>
    <w:lvl w:ilvl="1" w:tplc="A5FE904C">
      <w:start w:val="1"/>
      <w:numFmt w:val="bullet"/>
      <w:lvlText w:val="o"/>
      <w:lvlJc w:val="left"/>
      <w:pPr>
        <w:ind w:left="1440" w:hanging="360"/>
      </w:pPr>
      <w:rPr>
        <w:rFonts w:ascii="Courier New" w:hAnsi="Courier New" w:hint="default"/>
      </w:rPr>
    </w:lvl>
    <w:lvl w:ilvl="2" w:tplc="57BC2C20">
      <w:start w:val="1"/>
      <w:numFmt w:val="bullet"/>
      <w:lvlText w:val=""/>
      <w:lvlJc w:val="left"/>
      <w:pPr>
        <w:ind w:left="2160" w:hanging="360"/>
      </w:pPr>
      <w:rPr>
        <w:rFonts w:ascii="Wingdings" w:hAnsi="Wingdings" w:hint="default"/>
      </w:rPr>
    </w:lvl>
    <w:lvl w:ilvl="3" w:tplc="36DAB124">
      <w:start w:val="1"/>
      <w:numFmt w:val="bullet"/>
      <w:lvlText w:val=""/>
      <w:lvlJc w:val="left"/>
      <w:pPr>
        <w:ind w:left="2880" w:hanging="360"/>
      </w:pPr>
      <w:rPr>
        <w:rFonts w:ascii="Symbol" w:hAnsi="Symbol" w:hint="default"/>
      </w:rPr>
    </w:lvl>
    <w:lvl w:ilvl="4" w:tplc="3F8A1798">
      <w:start w:val="1"/>
      <w:numFmt w:val="bullet"/>
      <w:lvlText w:val="o"/>
      <w:lvlJc w:val="left"/>
      <w:pPr>
        <w:ind w:left="3600" w:hanging="360"/>
      </w:pPr>
      <w:rPr>
        <w:rFonts w:ascii="Courier New" w:hAnsi="Courier New" w:hint="default"/>
      </w:rPr>
    </w:lvl>
    <w:lvl w:ilvl="5" w:tplc="8662DF8E">
      <w:start w:val="1"/>
      <w:numFmt w:val="bullet"/>
      <w:lvlText w:val=""/>
      <w:lvlJc w:val="left"/>
      <w:pPr>
        <w:ind w:left="4320" w:hanging="360"/>
      </w:pPr>
      <w:rPr>
        <w:rFonts w:ascii="Wingdings" w:hAnsi="Wingdings" w:hint="default"/>
      </w:rPr>
    </w:lvl>
    <w:lvl w:ilvl="6" w:tplc="D23E0B0A">
      <w:start w:val="1"/>
      <w:numFmt w:val="bullet"/>
      <w:lvlText w:val=""/>
      <w:lvlJc w:val="left"/>
      <w:pPr>
        <w:ind w:left="5040" w:hanging="360"/>
      </w:pPr>
      <w:rPr>
        <w:rFonts w:ascii="Symbol" w:hAnsi="Symbol" w:hint="default"/>
      </w:rPr>
    </w:lvl>
    <w:lvl w:ilvl="7" w:tplc="F7C03EEE">
      <w:start w:val="1"/>
      <w:numFmt w:val="bullet"/>
      <w:lvlText w:val="o"/>
      <w:lvlJc w:val="left"/>
      <w:pPr>
        <w:ind w:left="5760" w:hanging="360"/>
      </w:pPr>
      <w:rPr>
        <w:rFonts w:ascii="Courier New" w:hAnsi="Courier New" w:hint="default"/>
      </w:rPr>
    </w:lvl>
    <w:lvl w:ilvl="8" w:tplc="BA168EAA">
      <w:start w:val="1"/>
      <w:numFmt w:val="bullet"/>
      <w:lvlText w:val=""/>
      <w:lvlJc w:val="left"/>
      <w:pPr>
        <w:ind w:left="6480" w:hanging="360"/>
      </w:pPr>
      <w:rPr>
        <w:rFonts w:ascii="Wingdings" w:hAnsi="Wingdings" w:hint="default"/>
      </w:rPr>
    </w:lvl>
  </w:abstractNum>
  <w:abstractNum w:abstractNumId="5" w15:restartNumberingAfterBreak="0">
    <w:nsid w:val="33B3CF85"/>
    <w:multiLevelType w:val="hybridMultilevel"/>
    <w:tmpl w:val="E2D21414"/>
    <w:lvl w:ilvl="0" w:tplc="A27C2172">
      <w:start w:val="1"/>
      <w:numFmt w:val="bullet"/>
      <w:lvlText w:val="-"/>
      <w:lvlJc w:val="left"/>
      <w:pPr>
        <w:ind w:left="720" w:hanging="360"/>
      </w:pPr>
      <w:rPr>
        <w:rFonts w:ascii="Calibri" w:hAnsi="Calibri" w:hint="default"/>
      </w:rPr>
    </w:lvl>
    <w:lvl w:ilvl="1" w:tplc="677672F6">
      <w:start w:val="1"/>
      <w:numFmt w:val="bullet"/>
      <w:lvlText w:val="o"/>
      <w:lvlJc w:val="left"/>
      <w:pPr>
        <w:ind w:left="1440" w:hanging="360"/>
      </w:pPr>
      <w:rPr>
        <w:rFonts w:ascii="Courier New" w:hAnsi="Courier New" w:hint="default"/>
      </w:rPr>
    </w:lvl>
    <w:lvl w:ilvl="2" w:tplc="E97E2280">
      <w:start w:val="1"/>
      <w:numFmt w:val="bullet"/>
      <w:lvlText w:val=""/>
      <w:lvlJc w:val="left"/>
      <w:pPr>
        <w:ind w:left="2160" w:hanging="360"/>
      </w:pPr>
      <w:rPr>
        <w:rFonts w:ascii="Wingdings" w:hAnsi="Wingdings" w:hint="default"/>
      </w:rPr>
    </w:lvl>
    <w:lvl w:ilvl="3" w:tplc="0A828F74">
      <w:start w:val="1"/>
      <w:numFmt w:val="bullet"/>
      <w:lvlText w:val=""/>
      <w:lvlJc w:val="left"/>
      <w:pPr>
        <w:ind w:left="2880" w:hanging="360"/>
      </w:pPr>
      <w:rPr>
        <w:rFonts w:ascii="Symbol" w:hAnsi="Symbol" w:hint="default"/>
      </w:rPr>
    </w:lvl>
    <w:lvl w:ilvl="4" w:tplc="D72A2424">
      <w:start w:val="1"/>
      <w:numFmt w:val="bullet"/>
      <w:lvlText w:val="o"/>
      <w:lvlJc w:val="left"/>
      <w:pPr>
        <w:ind w:left="3600" w:hanging="360"/>
      </w:pPr>
      <w:rPr>
        <w:rFonts w:ascii="Courier New" w:hAnsi="Courier New" w:hint="default"/>
      </w:rPr>
    </w:lvl>
    <w:lvl w:ilvl="5" w:tplc="DC1E21C0">
      <w:start w:val="1"/>
      <w:numFmt w:val="bullet"/>
      <w:lvlText w:val=""/>
      <w:lvlJc w:val="left"/>
      <w:pPr>
        <w:ind w:left="4320" w:hanging="360"/>
      </w:pPr>
      <w:rPr>
        <w:rFonts w:ascii="Wingdings" w:hAnsi="Wingdings" w:hint="default"/>
      </w:rPr>
    </w:lvl>
    <w:lvl w:ilvl="6" w:tplc="35927C2C">
      <w:start w:val="1"/>
      <w:numFmt w:val="bullet"/>
      <w:lvlText w:val=""/>
      <w:lvlJc w:val="left"/>
      <w:pPr>
        <w:ind w:left="5040" w:hanging="360"/>
      </w:pPr>
      <w:rPr>
        <w:rFonts w:ascii="Symbol" w:hAnsi="Symbol" w:hint="default"/>
      </w:rPr>
    </w:lvl>
    <w:lvl w:ilvl="7" w:tplc="1C928C28">
      <w:start w:val="1"/>
      <w:numFmt w:val="bullet"/>
      <w:lvlText w:val="o"/>
      <w:lvlJc w:val="left"/>
      <w:pPr>
        <w:ind w:left="5760" w:hanging="360"/>
      </w:pPr>
      <w:rPr>
        <w:rFonts w:ascii="Courier New" w:hAnsi="Courier New" w:hint="default"/>
      </w:rPr>
    </w:lvl>
    <w:lvl w:ilvl="8" w:tplc="5D5CF748">
      <w:start w:val="1"/>
      <w:numFmt w:val="bullet"/>
      <w:lvlText w:val=""/>
      <w:lvlJc w:val="left"/>
      <w:pPr>
        <w:ind w:left="6480" w:hanging="360"/>
      </w:pPr>
      <w:rPr>
        <w:rFonts w:ascii="Wingdings" w:hAnsi="Wingdings" w:hint="default"/>
      </w:rPr>
    </w:lvl>
  </w:abstractNum>
  <w:abstractNum w:abstractNumId="6" w15:restartNumberingAfterBreak="0">
    <w:nsid w:val="3D3B69B4"/>
    <w:multiLevelType w:val="hybridMultilevel"/>
    <w:tmpl w:val="D0225206"/>
    <w:lvl w:ilvl="0" w:tplc="0C0C6740">
      <w:start w:val="1"/>
      <w:numFmt w:val="decimal"/>
      <w:lvlText w:val="%1."/>
      <w:lvlJc w:val="left"/>
      <w:pPr>
        <w:ind w:left="720" w:hanging="360"/>
      </w:pPr>
    </w:lvl>
    <w:lvl w:ilvl="1" w:tplc="64C07F5C">
      <w:start w:val="1"/>
      <w:numFmt w:val="lowerLetter"/>
      <w:lvlText w:val="%2."/>
      <w:lvlJc w:val="left"/>
      <w:pPr>
        <w:ind w:left="1440" w:hanging="360"/>
      </w:pPr>
    </w:lvl>
    <w:lvl w:ilvl="2" w:tplc="75F60458">
      <w:start w:val="1"/>
      <w:numFmt w:val="lowerRoman"/>
      <w:lvlText w:val="%3."/>
      <w:lvlJc w:val="right"/>
      <w:pPr>
        <w:ind w:left="2160" w:hanging="180"/>
      </w:pPr>
    </w:lvl>
    <w:lvl w:ilvl="3" w:tplc="076C1D92">
      <w:start w:val="1"/>
      <w:numFmt w:val="decimal"/>
      <w:lvlText w:val="%4."/>
      <w:lvlJc w:val="left"/>
      <w:pPr>
        <w:ind w:left="2880" w:hanging="360"/>
      </w:pPr>
    </w:lvl>
    <w:lvl w:ilvl="4" w:tplc="F2066DAC">
      <w:start w:val="1"/>
      <w:numFmt w:val="lowerLetter"/>
      <w:lvlText w:val="%5."/>
      <w:lvlJc w:val="left"/>
      <w:pPr>
        <w:ind w:left="3600" w:hanging="360"/>
      </w:pPr>
    </w:lvl>
    <w:lvl w:ilvl="5" w:tplc="E3E2188A">
      <w:start w:val="1"/>
      <w:numFmt w:val="lowerRoman"/>
      <w:lvlText w:val="%6."/>
      <w:lvlJc w:val="right"/>
      <w:pPr>
        <w:ind w:left="4320" w:hanging="180"/>
      </w:pPr>
    </w:lvl>
    <w:lvl w:ilvl="6" w:tplc="E996A39E">
      <w:start w:val="1"/>
      <w:numFmt w:val="decimal"/>
      <w:lvlText w:val="%7."/>
      <w:lvlJc w:val="left"/>
      <w:pPr>
        <w:ind w:left="5040" w:hanging="360"/>
      </w:pPr>
    </w:lvl>
    <w:lvl w:ilvl="7" w:tplc="5630C2BA">
      <w:start w:val="1"/>
      <w:numFmt w:val="lowerLetter"/>
      <w:lvlText w:val="%8."/>
      <w:lvlJc w:val="left"/>
      <w:pPr>
        <w:ind w:left="5760" w:hanging="360"/>
      </w:pPr>
    </w:lvl>
    <w:lvl w:ilvl="8" w:tplc="D1089ECE">
      <w:start w:val="1"/>
      <w:numFmt w:val="lowerRoman"/>
      <w:lvlText w:val="%9."/>
      <w:lvlJc w:val="right"/>
      <w:pPr>
        <w:ind w:left="6480" w:hanging="180"/>
      </w:pPr>
    </w:lvl>
  </w:abstractNum>
  <w:abstractNum w:abstractNumId="7" w15:restartNumberingAfterBreak="0">
    <w:nsid w:val="3D86085E"/>
    <w:multiLevelType w:val="hybridMultilevel"/>
    <w:tmpl w:val="5A88922A"/>
    <w:lvl w:ilvl="0" w:tplc="F94688EE">
      <w:start w:val="1"/>
      <w:numFmt w:val="decimal"/>
      <w:lvlText w:val="%1."/>
      <w:lvlJc w:val="left"/>
      <w:pPr>
        <w:tabs>
          <w:tab w:val="num" w:pos="720"/>
        </w:tabs>
        <w:ind w:left="720" w:hanging="360"/>
      </w:pPr>
    </w:lvl>
    <w:lvl w:ilvl="1" w:tplc="ADA881CA" w:tentative="1">
      <w:start w:val="1"/>
      <w:numFmt w:val="decimal"/>
      <w:lvlText w:val="%2."/>
      <w:lvlJc w:val="left"/>
      <w:pPr>
        <w:tabs>
          <w:tab w:val="num" w:pos="1440"/>
        </w:tabs>
        <w:ind w:left="1440" w:hanging="360"/>
      </w:pPr>
    </w:lvl>
    <w:lvl w:ilvl="2" w:tplc="B1F8E6C6" w:tentative="1">
      <w:start w:val="1"/>
      <w:numFmt w:val="decimal"/>
      <w:lvlText w:val="%3."/>
      <w:lvlJc w:val="left"/>
      <w:pPr>
        <w:tabs>
          <w:tab w:val="num" w:pos="2160"/>
        </w:tabs>
        <w:ind w:left="2160" w:hanging="360"/>
      </w:pPr>
    </w:lvl>
    <w:lvl w:ilvl="3" w:tplc="BE10F9E6" w:tentative="1">
      <w:start w:val="1"/>
      <w:numFmt w:val="decimal"/>
      <w:lvlText w:val="%4."/>
      <w:lvlJc w:val="left"/>
      <w:pPr>
        <w:tabs>
          <w:tab w:val="num" w:pos="2880"/>
        </w:tabs>
        <w:ind w:left="2880" w:hanging="360"/>
      </w:pPr>
    </w:lvl>
    <w:lvl w:ilvl="4" w:tplc="8D7C7B16" w:tentative="1">
      <w:start w:val="1"/>
      <w:numFmt w:val="decimal"/>
      <w:lvlText w:val="%5."/>
      <w:lvlJc w:val="left"/>
      <w:pPr>
        <w:tabs>
          <w:tab w:val="num" w:pos="3600"/>
        </w:tabs>
        <w:ind w:left="3600" w:hanging="360"/>
      </w:pPr>
    </w:lvl>
    <w:lvl w:ilvl="5" w:tplc="6EB0BFC8" w:tentative="1">
      <w:start w:val="1"/>
      <w:numFmt w:val="decimal"/>
      <w:lvlText w:val="%6."/>
      <w:lvlJc w:val="left"/>
      <w:pPr>
        <w:tabs>
          <w:tab w:val="num" w:pos="4320"/>
        </w:tabs>
        <w:ind w:left="4320" w:hanging="360"/>
      </w:pPr>
    </w:lvl>
    <w:lvl w:ilvl="6" w:tplc="F788DD14" w:tentative="1">
      <w:start w:val="1"/>
      <w:numFmt w:val="decimal"/>
      <w:lvlText w:val="%7."/>
      <w:lvlJc w:val="left"/>
      <w:pPr>
        <w:tabs>
          <w:tab w:val="num" w:pos="5040"/>
        </w:tabs>
        <w:ind w:left="5040" w:hanging="360"/>
      </w:pPr>
    </w:lvl>
    <w:lvl w:ilvl="7" w:tplc="E45C60AA" w:tentative="1">
      <w:start w:val="1"/>
      <w:numFmt w:val="decimal"/>
      <w:lvlText w:val="%8."/>
      <w:lvlJc w:val="left"/>
      <w:pPr>
        <w:tabs>
          <w:tab w:val="num" w:pos="5760"/>
        </w:tabs>
        <w:ind w:left="5760" w:hanging="360"/>
      </w:pPr>
    </w:lvl>
    <w:lvl w:ilvl="8" w:tplc="BB869D78" w:tentative="1">
      <w:start w:val="1"/>
      <w:numFmt w:val="decimal"/>
      <w:lvlText w:val="%9."/>
      <w:lvlJc w:val="left"/>
      <w:pPr>
        <w:tabs>
          <w:tab w:val="num" w:pos="6480"/>
        </w:tabs>
        <w:ind w:left="6480" w:hanging="360"/>
      </w:pPr>
    </w:lvl>
  </w:abstractNum>
  <w:abstractNum w:abstractNumId="8" w15:restartNumberingAfterBreak="0">
    <w:nsid w:val="3EB2A641"/>
    <w:multiLevelType w:val="hybridMultilevel"/>
    <w:tmpl w:val="BB30C262"/>
    <w:lvl w:ilvl="0" w:tplc="C51EBE38">
      <w:start w:val="1"/>
      <w:numFmt w:val="bullet"/>
      <w:lvlText w:val="-"/>
      <w:lvlJc w:val="left"/>
      <w:pPr>
        <w:ind w:left="720" w:hanging="360"/>
      </w:pPr>
      <w:rPr>
        <w:rFonts w:ascii="Calibri" w:hAnsi="Calibri" w:hint="default"/>
      </w:rPr>
    </w:lvl>
    <w:lvl w:ilvl="1" w:tplc="DAFEDC78">
      <w:start w:val="1"/>
      <w:numFmt w:val="bullet"/>
      <w:lvlText w:val="o"/>
      <w:lvlJc w:val="left"/>
      <w:pPr>
        <w:ind w:left="1440" w:hanging="360"/>
      </w:pPr>
      <w:rPr>
        <w:rFonts w:ascii="Courier New" w:hAnsi="Courier New" w:hint="default"/>
      </w:rPr>
    </w:lvl>
    <w:lvl w:ilvl="2" w:tplc="90F0C5A8">
      <w:start w:val="1"/>
      <w:numFmt w:val="bullet"/>
      <w:lvlText w:val=""/>
      <w:lvlJc w:val="left"/>
      <w:pPr>
        <w:ind w:left="2160" w:hanging="360"/>
      </w:pPr>
      <w:rPr>
        <w:rFonts w:ascii="Wingdings" w:hAnsi="Wingdings" w:hint="default"/>
      </w:rPr>
    </w:lvl>
    <w:lvl w:ilvl="3" w:tplc="5A083BB0">
      <w:start w:val="1"/>
      <w:numFmt w:val="bullet"/>
      <w:lvlText w:val=""/>
      <w:lvlJc w:val="left"/>
      <w:pPr>
        <w:ind w:left="2880" w:hanging="360"/>
      </w:pPr>
      <w:rPr>
        <w:rFonts w:ascii="Symbol" w:hAnsi="Symbol" w:hint="default"/>
      </w:rPr>
    </w:lvl>
    <w:lvl w:ilvl="4" w:tplc="1F905496">
      <w:start w:val="1"/>
      <w:numFmt w:val="bullet"/>
      <w:lvlText w:val="o"/>
      <w:lvlJc w:val="left"/>
      <w:pPr>
        <w:ind w:left="3600" w:hanging="360"/>
      </w:pPr>
      <w:rPr>
        <w:rFonts w:ascii="Courier New" w:hAnsi="Courier New" w:hint="default"/>
      </w:rPr>
    </w:lvl>
    <w:lvl w:ilvl="5" w:tplc="65200F12">
      <w:start w:val="1"/>
      <w:numFmt w:val="bullet"/>
      <w:lvlText w:val=""/>
      <w:lvlJc w:val="left"/>
      <w:pPr>
        <w:ind w:left="4320" w:hanging="360"/>
      </w:pPr>
      <w:rPr>
        <w:rFonts w:ascii="Wingdings" w:hAnsi="Wingdings" w:hint="default"/>
      </w:rPr>
    </w:lvl>
    <w:lvl w:ilvl="6" w:tplc="974A885C">
      <w:start w:val="1"/>
      <w:numFmt w:val="bullet"/>
      <w:lvlText w:val=""/>
      <w:lvlJc w:val="left"/>
      <w:pPr>
        <w:ind w:left="5040" w:hanging="360"/>
      </w:pPr>
      <w:rPr>
        <w:rFonts w:ascii="Symbol" w:hAnsi="Symbol" w:hint="default"/>
      </w:rPr>
    </w:lvl>
    <w:lvl w:ilvl="7" w:tplc="CEBEF17E">
      <w:start w:val="1"/>
      <w:numFmt w:val="bullet"/>
      <w:lvlText w:val="o"/>
      <w:lvlJc w:val="left"/>
      <w:pPr>
        <w:ind w:left="5760" w:hanging="360"/>
      </w:pPr>
      <w:rPr>
        <w:rFonts w:ascii="Courier New" w:hAnsi="Courier New" w:hint="default"/>
      </w:rPr>
    </w:lvl>
    <w:lvl w:ilvl="8" w:tplc="EDBE36CA">
      <w:start w:val="1"/>
      <w:numFmt w:val="bullet"/>
      <w:lvlText w:val=""/>
      <w:lvlJc w:val="left"/>
      <w:pPr>
        <w:ind w:left="6480" w:hanging="360"/>
      </w:pPr>
      <w:rPr>
        <w:rFonts w:ascii="Wingdings" w:hAnsi="Wingdings" w:hint="default"/>
      </w:rPr>
    </w:lvl>
  </w:abstractNum>
  <w:abstractNum w:abstractNumId="9" w15:restartNumberingAfterBreak="0">
    <w:nsid w:val="42D51F41"/>
    <w:multiLevelType w:val="hybridMultilevel"/>
    <w:tmpl w:val="56C42F7C"/>
    <w:lvl w:ilvl="0" w:tplc="1C090001">
      <w:start w:val="1"/>
      <w:numFmt w:val="bullet"/>
      <w:lvlText w:val=""/>
      <w:lvlJc w:val="left"/>
      <w:pPr>
        <w:ind w:left="407" w:hanging="360"/>
      </w:pPr>
      <w:rPr>
        <w:rFonts w:ascii="Symbol" w:hAnsi="Symbol" w:hint="default"/>
      </w:rPr>
    </w:lvl>
    <w:lvl w:ilvl="1" w:tplc="20000003" w:tentative="1">
      <w:start w:val="1"/>
      <w:numFmt w:val="bullet"/>
      <w:lvlText w:val="o"/>
      <w:lvlJc w:val="left"/>
      <w:pPr>
        <w:ind w:left="1487" w:hanging="360"/>
      </w:pPr>
      <w:rPr>
        <w:rFonts w:ascii="Courier New" w:hAnsi="Courier New" w:cs="Courier New" w:hint="default"/>
      </w:rPr>
    </w:lvl>
    <w:lvl w:ilvl="2" w:tplc="20000005" w:tentative="1">
      <w:start w:val="1"/>
      <w:numFmt w:val="bullet"/>
      <w:lvlText w:val=""/>
      <w:lvlJc w:val="left"/>
      <w:pPr>
        <w:ind w:left="2207" w:hanging="360"/>
      </w:pPr>
      <w:rPr>
        <w:rFonts w:ascii="Wingdings" w:hAnsi="Wingdings" w:hint="default"/>
      </w:rPr>
    </w:lvl>
    <w:lvl w:ilvl="3" w:tplc="20000001" w:tentative="1">
      <w:start w:val="1"/>
      <w:numFmt w:val="bullet"/>
      <w:lvlText w:val=""/>
      <w:lvlJc w:val="left"/>
      <w:pPr>
        <w:ind w:left="2927" w:hanging="360"/>
      </w:pPr>
      <w:rPr>
        <w:rFonts w:ascii="Symbol" w:hAnsi="Symbol" w:hint="default"/>
      </w:rPr>
    </w:lvl>
    <w:lvl w:ilvl="4" w:tplc="20000003" w:tentative="1">
      <w:start w:val="1"/>
      <w:numFmt w:val="bullet"/>
      <w:lvlText w:val="o"/>
      <w:lvlJc w:val="left"/>
      <w:pPr>
        <w:ind w:left="3647" w:hanging="360"/>
      </w:pPr>
      <w:rPr>
        <w:rFonts w:ascii="Courier New" w:hAnsi="Courier New" w:cs="Courier New" w:hint="default"/>
      </w:rPr>
    </w:lvl>
    <w:lvl w:ilvl="5" w:tplc="20000005" w:tentative="1">
      <w:start w:val="1"/>
      <w:numFmt w:val="bullet"/>
      <w:lvlText w:val=""/>
      <w:lvlJc w:val="left"/>
      <w:pPr>
        <w:ind w:left="4367" w:hanging="360"/>
      </w:pPr>
      <w:rPr>
        <w:rFonts w:ascii="Wingdings" w:hAnsi="Wingdings" w:hint="default"/>
      </w:rPr>
    </w:lvl>
    <w:lvl w:ilvl="6" w:tplc="20000001" w:tentative="1">
      <w:start w:val="1"/>
      <w:numFmt w:val="bullet"/>
      <w:lvlText w:val=""/>
      <w:lvlJc w:val="left"/>
      <w:pPr>
        <w:ind w:left="5087" w:hanging="360"/>
      </w:pPr>
      <w:rPr>
        <w:rFonts w:ascii="Symbol" w:hAnsi="Symbol" w:hint="default"/>
      </w:rPr>
    </w:lvl>
    <w:lvl w:ilvl="7" w:tplc="20000003" w:tentative="1">
      <w:start w:val="1"/>
      <w:numFmt w:val="bullet"/>
      <w:lvlText w:val="o"/>
      <w:lvlJc w:val="left"/>
      <w:pPr>
        <w:ind w:left="5807" w:hanging="360"/>
      </w:pPr>
      <w:rPr>
        <w:rFonts w:ascii="Courier New" w:hAnsi="Courier New" w:cs="Courier New" w:hint="default"/>
      </w:rPr>
    </w:lvl>
    <w:lvl w:ilvl="8" w:tplc="20000005" w:tentative="1">
      <w:start w:val="1"/>
      <w:numFmt w:val="bullet"/>
      <w:lvlText w:val=""/>
      <w:lvlJc w:val="left"/>
      <w:pPr>
        <w:ind w:left="6527" w:hanging="360"/>
      </w:pPr>
      <w:rPr>
        <w:rFonts w:ascii="Wingdings" w:hAnsi="Wingdings" w:hint="default"/>
      </w:rPr>
    </w:lvl>
  </w:abstractNum>
  <w:abstractNum w:abstractNumId="10" w15:restartNumberingAfterBreak="0">
    <w:nsid w:val="4C8A4596"/>
    <w:multiLevelType w:val="hybridMultilevel"/>
    <w:tmpl w:val="F7B0E5C0"/>
    <w:lvl w:ilvl="0" w:tplc="AC78F460">
      <w:start w:val="1"/>
      <w:numFmt w:val="bullet"/>
      <w:lvlText w:val="-"/>
      <w:lvlJc w:val="left"/>
      <w:pPr>
        <w:ind w:left="720" w:hanging="360"/>
      </w:pPr>
      <w:rPr>
        <w:rFonts w:ascii="Calibri" w:hAnsi="Calibri" w:hint="default"/>
      </w:rPr>
    </w:lvl>
    <w:lvl w:ilvl="1" w:tplc="CDEEE186">
      <w:start w:val="1"/>
      <w:numFmt w:val="bullet"/>
      <w:lvlText w:val="o"/>
      <w:lvlJc w:val="left"/>
      <w:pPr>
        <w:ind w:left="1440" w:hanging="360"/>
      </w:pPr>
      <w:rPr>
        <w:rFonts w:ascii="Courier New" w:hAnsi="Courier New" w:hint="default"/>
      </w:rPr>
    </w:lvl>
    <w:lvl w:ilvl="2" w:tplc="7FAA3FC2">
      <w:start w:val="1"/>
      <w:numFmt w:val="bullet"/>
      <w:lvlText w:val=""/>
      <w:lvlJc w:val="left"/>
      <w:pPr>
        <w:ind w:left="2160" w:hanging="360"/>
      </w:pPr>
      <w:rPr>
        <w:rFonts w:ascii="Wingdings" w:hAnsi="Wingdings" w:hint="default"/>
      </w:rPr>
    </w:lvl>
    <w:lvl w:ilvl="3" w:tplc="498AA5D8">
      <w:start w:val="1"/>
      <w:numFmt w:val="bullet"/>
      <w:lvlText w:val=""/>
      <w:lvlJc w:val="left"/>
      <w:pPr>
        <w:ind w:left="2880" w:hanging="360"/>
      </w:pPr>
      <w:rPr>
        <w:rFonts w:ascii="Symbol" w:hAnsi="Symbol" w:hint="default"/>
      </w:rPr>
    </w:lvl>
    <w:lvl w:ilvl="4" w:tplc="E0443DC8">
      <w:start w:val="1"/>
      <w:numFmt w:val="bullet"/>
      <w:lvlText w:val="o"/>
      <w:lvlJc w:val="left"/>
      <w:pPr>
        <w:ind w:left="3600" w:hanging="360"/>
      </w:pPr>
      <w:rPr>
        <w:rFonts w:ascii="Courier New" w:hAnsi="Courier New" w:hint="default"/>
      </w:rPr>
    </w:lvl>
    <w:lvl w:ilvl="5" w:tplc="8FE4AD82">
      <w:start w:val="1"/>
      <w:numFmt w:val="bullet"/>
      <w:lvlText w:val=""/>
      <w:lvlJc w:val="left"/>
      <w:pPr>
        <w:ind w:left="4320" w:hanging="360"/>
      </w:pPr>
      <w:rPr>
        <w:rFonts w:ascii="Wingdings" w:hAnsi="Wingdings" w:hint="default"/>
      </w:rPr>
    </w:lvl>
    <w:lvl w:ilvl="6" w:tplc="C9566F84">
      <w:start w:val="1"/>
      <w:numFmt w:val="bullet"/>
      <w:lvlText w:val=""/>
      <w:lvlJc w:val="left"/>
      <w:pPr>
        <w:ind w:left="5040" w:hanging="360"/>
      </w:pPr>
      <w:rPr>
        <w:rFonts w:ascii="Symbol" w:hAnsi="Symbol" w:hint="default"/>
      </w:rPr>
    </w:lvl>
    <w:lvl w:ilvl="7" w:tplc="94EA4DD8">
      <w:start w:val="1"/>
      <w:numFmt w:val="bullet"/>
      <w:lvlText w:val="o"/>
      <w:lvlJc w:val="left"/>
      <w:pPr>
        <w:ind w:left="5760" w:hanging="360"/>
      </w:pPr>
      <w:rPr>
        <w:rFonts w:ascii="Courier New" w:hAnsi="Courier New" w:hint="default"/>
      </w:rPr>
    </w:lvl>
    <w:lvl w:ilvl="8" w:tplc="E332B9EC">
      <w:start w:val="1"/>
      <w:numFmt w:val="bullet"/>
      <w:lvlText w:val=""/>
      <w:lvlJc w:val="left"/>
      <w:pPr>
        <w:ind w:left="6480" w:hanging="360"/>
      </w:pPr>
      <w:rPr>
        <w:rFonts w:ascii="Wingdings" w:hAnsi="Wingdings" w:hint="default"/>
      </w:rPr>
    </w:lvl>
  </w:abstractNum>
  <w:abstractNum w:abstractNumId="11" w15:restartNumberingAfterBreak="0">
    <w:nsid w:val="4CB9BF39"/>
    <w:multiLevelType w:val="hybridMultilevel"/>
    <w:tmpl w:val="339EC22A"/>
    <w:lvl w:ilvl="0" w:tplc="63C86886">
      <w:start w:val="1"/>
      <w:numFmt w:val="bullet"/>
      <w:lvlText w:val="-"/>
      <w:lvlJc w:val="left"/>
      <w:pPr>
        <w:ind w:left="720" w:hanging="360"/>
      </w:pPr>
      <w:rPr>
        <w:rFonts w:ascii="Calibri" w:hAnsi="Calibri" w:hint="default"/>
      </w:rPr>
    </w:lvl>
    <w:lvl w:ilvl="1" w:tplc="65D2B6C0">
      <w:start w:val="1"/>
      <w:numFmt w:val="bullet"/>
      <w:lvlText w:val="o"/>
      <w:lvlJc w:val="left"/>
      <w:pPr>
        <w:ind w:left="1440" w:hanging="360"/>
      </w:pPr>
      <w:rPr>
        <w:rFonts w:ascii="Courier New" w:hAnsi="Courier New" w:hint="default"/>
      </w:rPr>
    </w:lvl>
    <w:lvl w:ilvl="2" w:tplc="86AA8AC4">
      <w:start w:val="1"/>
      <w:numFmt w:val="bullet"/>
      <w:lvlText w:val=""/>
      <w:lvlJc w:val="left"/>
      <w:pPr>
        <w:ind w:left="2160" w:hanging="360"/>
      </w:pPr>
      <w:rPr>
        <w:rFonts w:ascii="Wingdings" w:hAnsi="Wingdings" w:hint="default"/>
      </w:rPr>
    </w:lvl>
    <w:lvl w:ilvl="3" w:tplc="08FE7B68">
      <w:start w:val="1"/>
      <w:numFmt w:val="bullet"/>
      <w:lvlText w:val=""/>
      <w:lvlJc w:val="left"/>
      <w:pPr>
        <w:ind w:left="2880" w:hanging="360"/>
      </w:pPr>
      <w:rPr>
        <w:rFonts w:ascii="Symbol" w:hAnsi="Symbol" w:hint="default"/>
      </w:rPr>
    </w:lvl>
    <w:lvl w:ilvl="4" w:tplc="B442CB6C">
      <w:start w:val="1"/>
      <w:numFmt w:val="bullet"/>
      <w:lvlText w:val="o"/>
      <w:lvlJc w:val="left"/>
      <w:pPr>
        <w:ind w:left="3600" w:hanging="360"/>
      </w:pPr>
      <w:rPr>
        <w:rFonts w:ascii="Courier New" w:hAnsi="Courier New" w:hint="default"/>
      </w:rPr>
    </w:lvl>
    <w:lvl w:ilvl="5" w:tplc="AD866A98">
      <w:start w:val="1"/>
      <w:numFmt w:val="bullet"/>
      <w:lvlText w:val=""/>
      <w:lvlJc w:val="left"/>
      <w:pPr>
        <w:ind w:left="4320" w:hanging="360"/>
      </w:pPr>
      <w:rPr>
        <w:rFonts w:ascii="Wingdings" w:hAnsi="Wingdings" w:hint="default"/>
      </w:rPr>
    </w:lvl>
    <w:lvl w:ilvl="6" w:tplc="C5ACE2A2">
      <w:start w:val="1"/>
      <w:numFmt w:val="bullet"/>
      <w:lvlText w:val=""/>
      <w:lvlJc w:val="left"/>
      <w:pPr>
        <w:ind w:left="5040" w:hanging="360"/>
      </w:pPr>
      <w:rPr>
        <w:rFonts w:ascii="Symbol" w:hAnsi="Symbol" w:hint="default"/>
      </w:rPr>
    </w:lvl>
    <w:lvl w:ilvl="7" w:tplc="F5D47286">
      <w:start w:val="1"/>
      <w:numFmt w:val="bullet"/>
      <w:lvlText w:val="o"/>
      <w:lvlJc w:val="left"/>
      <w:pPr>
        <w:ind w:left="5760" w:hanging="360"/>
      </w:pPr>
      <w:rPr>
        <w:rFonts w:ascii="Courier New" w:hAnsi="Courier New" w:hint="default"/>
      </w:rPr>
    </w:lvl>
    <w:lvl w:ilvl="8" w:tplc="1B5CD7C4">
      <w:start w:val="1"/>
      <w:numFmt w:val="bullet"/>
      <w:lvlText w:val=""/>
      <w:lvlJc w:val="left"/>
      <w:pPr>
        <w:ind w:left="6480" w:hanging="360"/>
      </w:pPr>
      <w:rPr>
        <w:rFonts w:ascii="Wingdings" w:hAnsi="Wingdings" w:hint="default"/>
      </w:rPr>
    </w:lvl>
  </w:abstractNum>
  <w:abstractNum w:abstractNumId="12" w15:restartNumberingAfterBreak="0">
    <w:nsid w:val="4D51578D"/>
    <w:multiLevelType w:val="hybridMultilevel"/>
    <w:tmpl w:val="17B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B49A7"/>
    <w:multiLevelType w:val="hybridMultilevel"/>
    <w:tmpl w:val="7DC6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BBDEB"/>
    <w:multiLevelType w:val="hybridMultilevel"/>
    <w:tmpl w:val="309426B8"/>
    <w:lvl w:ilvl="0" w:tplc="CF8CD9A6">
      <w:start w:val="1"/>
      <w:numFmt w:val="bullet"/>
      <w:lvlText w:val="-"/>
      <w:lvlJc w:val="left"/>
      <w:pPr>
        <w:ind w:left="720" w:hanging="360"/>
      </w:pPr>
      <w:rPr>
        <w:rFonts w:ascii="Calibri" w:hAnsi="Calibri" w:hint="default"/>
      </w:rPr>
    </w:lvl>
    <w:lvl w:ilvl="1" w:tplc="68667004">
      <w:start w:val="1"/>
      <w:numFmt w:val="bullet"/>
      <w:lvlText w:val="o"/>
      <w:lvlJc w:val="left"/>
      <w:pPr>
        <w:ind w:left="1440" w:hanging="360"/>
      </w:pPr>
      <w:rPr>
        <w:rFonts w:ascii="Courier New" w:hAnsi="Courier New" w:hint="default"/>
      </w:rPr>
    </w:lvl>
    <w:lvl w:ilvl="2" w:tplc="B8B210D6">
      <w:start w:val="1"/>
      <w:numFmt w:val="bullet"/>
      <w:lvlText w:val=""/>
      <w:lvlJc w:val="left"/>
      <w:pPr>
        <w:ind w:left="2160" w:hanging="360"/>
      </w:pPr>
      <w:rPr>
        <w:rFonts w:ascii="Wingdings" w:hAnsi="Wingdings" w:hint="default"/>
      </w:rPr>
    </w:lvl>
    <w:lvl w:ilvl="3" w:tplc="2132E036">
      <w:start w:val="1"/>
      <w:numFmt w:val="bullet"/>
      <w:lvlText w:val=""/>
      <w:lvlJc w:val="left"/>
      <w:pPr>
        <w:ind w:left="2880" w:hanging="360"/>
      </w:pPr>
      <w:rPr>
        <w:rFonts w:ascii="Symbol" w:hAnsi="Symbol" w:hint="default"/>
      </w:rPr>
    </w:lvl>
    <w:lvl w:ilvl="4" w:tplc="2D7AFC78">
      <w:start w:val="1"/>
      <w:numFmt w:val="bullet"/>
      <w:lvlText w:val="o"/>
      <w:lvlJc w:val="left"/>
      <w:pPr>
        <w:ind w:left="3600" w:hanging="360"/>
      </w:pPr>
      <w:rPr>
        <w:rFonts w:ascii="Courier New" w:hAnsi="Courier New" w:hint="default"/>
      </w:rPr>
    </w:lvl>
    <w:lvl w:ilvl="5" w:tplc="2D2AFBC4">
      <w:start w:val="1"/>
      <w:numFmt w:val="bullet"/>
      <w:lvlText w:val=""/>
      <w:lvlJc w:val="left"/>
      <w:pPr>
        <w:ind w:left="4320" w:hanging="360"/>
      </w:pPr>
      <w:rPr>
        <w:rFonts w:ascii="Wingdings" w:hAnsi="Wingdings" w:hint="default"/>
      </w:rPr>
    </w:lvl>
    <w:lvl w:ilvl="6" w:tplc="0FEC57D4">
      <w:start w:val="1"/>
      <w:numFmt w:val="bullet"/>
      <w:lvlText w:val=""/>
      <w:lvlJc w:val="left"/>
      <w:pPr>
        <w:ind w:left="5040" w:hanging="360"/>
      </w:pPr>
      <w:rPr>
        <w:rFonts w:ascii="Symbol" w:hAnsi="Symbol" w:hint="default"/>
      </w:rPr>
    </w:lvl>
    <w:lvl w:ilvl="7" w:tplc="E36C4DE6">
      <w:start w:val="1"/>
      <w:numFmt w:val="bullet"/>
      <w:lvlText w:val="o"/>
      <w:lvlJc w:val="left"/>
      <w:pPr>
        <w:ind w:left="5760" w:hanging="360"/>
      </w:pPr>
      <w:rPr>
        <w:rFonts w:ascii="Courier New" w:hAnsi="Courier New" w:hint="default"/>
      </w:rPr>
    </w:lvl>
    <w:lvl w:ilvl="8" w:tplc="F042C7D8">
      <w:start w:val="1"/>
      <w:numFmt w:val="bullet"/>
      <w:lvlText w:val=""/>
      <w:lvlJc w:val="left"/>
      <w:pPr>
        <w:ind w:left="6480" w:hanging="360"/>
      </w:pPr>
      <w:rPr>
        <w:rFonts w:ascii="Wingdings" w:hAnsi="Wingdings" w:hint="default"/>
      </w:rPr>
    </w:lvl>
  </w:abstractNum>
  <w:abstractNum w:abstractNumId="15" w15:restartNumberingAfterBreak="0">
    <w:nsid w:val="68D16CD1"/>
    <w:multiLevelType w:val="multilevel"/>
    <w:tmpl w:val="C7F8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CD070E"/>
    <w:multiLevelType w:val="hybridMultilevel"/>
    <w:tmpl w:val="4F18C362"/>
    <w:lvl w:ilvl="0" w:tplc="0700DEEC">
      <w:start w:val="1"/>
      <w:numFmt w:val="bullet"/>
      <w:lvlText w:val="-"/>
      <w:lvlJc w:val="left"/>
      <w:pPr>
        <w:ind w:left="720" w:hanging="360"/>
      </w:pPr>
      <w:rPr>
        <w:rFonts w:ascii="Arial" w:hAnsi="Arial" w:hint="default"/>
      </w:rPr>
    </w:lvl>
    <w:lvl w:ilvl="1" w:tplc="A184C094">
      <w:start w:val="1"/>
      <w:numFmt w:val="bullet"/>
      <w:lvlText w:val="o"/>
      <w:lvlJc w:val="left"/>
      <w:pPr>
        <w:ind w:left="1440" w:hanging="360"/>
      </w:pPr>
      <w:rPr>
        <w:rFonts w:ascii="Courier New" w:hAnsi="Courier New" w:hint="default"/>
      </w:rPr>
    </w:lvl>
    <w:lvl w:ilvl="2" w:tplc="A9583C72">
      <w:start w:val="1"/>
      <w:numFmt w:val="bullet"/>
      <w:lvlText w:val=""/>
      <w:lvlJc w:val="left"/>
      <w:pPr>
        <w:ind w:left="2160" w:hanging="360"/>
      </w:pPr>
      <w:rPr>
        <w:rFonts w:ascii="Wingdings" w:hAnsi="Wingdings" w:hint="default"/>
      </w:rPr>
    </w:lvl>
    <w:lvl w:ilvl="3" w:tplc="42460DF4">
      <w:start w:val="1"/>
      <w:numFmt w:val="bullet"/>
      <w:lvlText w:val=""/>
      <w:lvlJc w:val="left"/>
      <w:pPr>
        <w:ind w:left="2880" w:hanging="360"/>
      </w:pPr>
      <w:rPr>
        <w:rFonts w:ascii="Symbol" w:hAnsi="Symbol" w:hint="default"/>
      </w:rPr>
    </w:lvl>
    <w:lvl w:ilvl="4" w:tplc="C8564740">
      <w:start w:val="1"/>
      <w:numFmt w:val="bullet"/>
      <w:lvlText w:val="o"/>
      <w:lvlJc w:val="left"/>
      <w:pPr>
        <w:ind w:left="3600" w:hanging="360"/>
      </w:pPr>
      <w:rPr>
        <w:rFonts w:ascii="Courier New" w:hAnsi="Courier New" w:hint="default"/>
      </w:rPr>
    </w:lvl>
    <w:lvl w:ilvl="5" w:tplc="FA507FDC">
      <w:start w:val="1"/>
      <w:numFmt w:val="bullet"/>
      <w:lvlText w:val=""/>
      <w:lvlJc w:val="left"/>
      <w:pPr>
        <w:ind w:left="4320" w:hanging="360"/>
      </w:pPr>
      <w:rPr>
        <w:rFonts w:ascii="Wingdings" w:hAnsi="Wingdings" w:hint="default"/>
      </w:rPr>
    </w:lvl>
    <w:lvl w:ilvl="6" w:tplc="9BA0B346">
      <w:start w:val="1"/>
      <w:numFmt w:val="bullet"/>
      <w:lvlText w:val=""/>
      <w:lvlJc w:val="left"/>
      <w:pPr>
        <w:ind w:left="5040" w:hanging="360"/>
      </w:pPr>
      <w:rPr>
        <w:rFonts w:ascii="Symbol" w:hAnsi="Symbol" w:hint="default"/>
      </w:rPr>
    </w:lvl>
    <w:lvl w:ilvl="7" w:tplc="008E83F6">
      <w:start w:val="1"/>
      <w:numFmt w:val="bullet"/>
      <w:lvlText w:val="o"/>
      <w:lvlJc w:val="left"/>
      <w:pPr>
        <w:ind w:left="5760" w:hanging="360"/>
      </w:pPr>
      <w:rPr>
        <w:rFonts w:ascii="Courier New" w:hAnsi="Courier New" w:hint="default"/>
      </w:rPr>
    </w:lvl>
    <w:lvl w:ilvl="8" w:tplc="00D4008E">
      <w:start w:val="1"/>
      <w:numFmt w:val="bullet"/>
      <w:lvlText w:val=""/>
      <w:lvlJc w:val="left"/>
      <w:pPr>
        <w:ind w:left="6480" w:hanging="360"/>
      </w:pPr>
      <w:rPr>
        <w:rFonts w:ascii="Wingdings" w:hAnsi="Wingdings" w:hint="default"/>
      </w:rPr>
    </w:lvl>
  </w:abstractNum>
  <w:num w:numId="1" w16cid:durableId="982975388">
    <w:abstractNumId w:val="15"/>
  </w:num>
  <w:num w:numId="2" w16cid:durableId="655454823">
    <w:abstractNumId w:val="7"/>
  </w:num>
  <w:num w:numId="3" w16cid:durableId="727804265">
    <w:abstractNumId w:val="0"/>
  </w:num>
  <w:num w:numId="4" w16cid:durableId="731081269">
    <w:abstractNumId w:val="10"/>
  </w:num>
  <w:num w:numId="5" w16cid:durableId="1157577012">
    <w:abstractNumId w:val="8"/>
  </w:num>
  <w:num w:numId="6" w16cid:durableId="940842367">
    <w:abstractNumId w:val="14"/>
  </w:num>
  <w:num w:numId="7" w16cid:durableId="964042761">
    <w:abstractNumId w:val="5"/>
  </w:num>
  <w:num w:numId="8" w16cid:durableId="865871822">
    <w:abstractNumId w:val="11"/>
  </w:num>
  <w:num w:numId="9" w16cid:durableId="1324745231">
    <w:abstractNumId w:val="9"/>
  </w:num>
  <w:num w:numId="10" w16cid:durableId="806553839">
    <w:abstractNumId w:val="2"/>
  </w:num>
  <w:num w:numId="11" w16cid:durableId="555970239">
    <w:abstractNumId w:val="12"/>
  </w:num>
  <w:num w:numId="12" w16cid:durableId="1891841803">
    <w:abstractNumId w:val="13"/>
  </w:num>
  <w:num w:numId="13" w16cid:durableId="1311248821">
    <w:abstractNumId w:val="1"/>
  </w:num>
  <w:num w:numId="14" w16cid:durableId="149567646">
    <w:abstractNumId w:val="3"/>
  </w:num>
  <w:num w:numId="15" w16cid:durableId="1266498600">
    <w:abstractNumId w:val="16"/>
  </w:num>
  <w:num w:numId="16" w16cid:durableId="232589569">
    <w:abstractNumId w:val="4"/>
  </w:num>
  <w:num w:numId="17" w16cid:durableId="436219807">
    <w:abstractNumId w:val="6"/>
  </w:num>
  <w:num w:numId="18" w16cid:durableId="1424952696">
    <w:abstractNumId w:val="2"/>
  </w:num>
  <w:num w:numId="19" w16cid:durableId="3262518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351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6C"/>
    <w:rsid w:val="00017AE4"/>
    <w:rsid w:val="00026638"/>
    <w:rsid w:val="0006429C"/>
    <w:rsid w:val="00097342"/>
    <w:rsid w:val="000B189B"/>
    <w:rsid w:val="000B6A42"/>
    <w:rsid w:val="000B83FF"/>
    <w:rsid w:val="000C4BC6"/>
    <w:rsid w:val="000C5CA8"/>
    <w:rsid w:val="00125AC4"/>
    <w:rsid w:val="0013206C"/>
    <w:rsid w:val="0015701B"/>
    <w:rsid w:val="001930D2"/>
    <w:rsid w:val="001B346C"/>
    <w:rsid w:val="001C71D8"/>
    <w:rsid w:val="001D63C9"/>
    <w:rsid w:val="001F3374"/>
    <w:rsid w:val="001F69EE"/>
    <w:rsid w:val="00203F93"/>
    <w:rsid w:val="002117F8"/>
    <w:rsid w:val="00240B42"/>
    <w:rsid w:val="00250748"/>
    <w:rsid w:val="00255C08"/>
    <w:rsid w:val="0029516B"/>
    <w:rsid w:val="002A4B67"/>
    <w:rsid w:val="00340233"/>
    <w:rsid w:val="00356C87"/>
    <w:rsid w:val="003A381E"/>
    <w:rsid w:val="003C6470"/>
    <w:rsid w:val="003D12C1"/>
    <w:rsid w:val="00417ACE"/>
    <w:rsid w:val="00427D64"/>
    <w:rsid w:val="00431805"/>
    <w:rsid w:val="0043785B"/>
    <w:rsid w:val="00453626"/>
    <w:rsid w:val="00455866"/>
    <w:rsid w:val="004611D6"/>
    <w:rsid w:val="00465EE7"/>
    <w:rsid w:val="00466C4D"/>
    <w:rsid w:val="004744FA"/>
    <w:rsid w:val="00476B96"/>
    <w:rsid w:val="004B7BBA"/>
    <w:rsid w:val="004C2508"/>
    <w:rsid w:val="004E275C"/>
    <w:rsid w:val="005174CA"/>
    <w:rsid w:val="0056344E"/>
    <w:rsid w:val="00567A75"/>
    <w:rsid w:val="00577FF4"/>
    <w:rsid w:val="005A23CE"/>
    <w:rsid w:val="005D03E1"/>
    <w:rsid w:val="005E431F"/>
    <w:rsid w:val="00601925"/>
    <w:rsid w:val="00601EC9"/>
    <w:rsid w:val="006404C4"/>
    <w:rsid w:val="00667D0C"/>
    <w:rsid w:val="00670419"/>
    <w:rsid w:val="00677E49"/>
    <w:rsid w:val="006945B5"/>
    <w:rsid w:val="00696446"/>
    <w:rsid w:val="006B4A4A"/>
    <w:rsid w:val="006D0EAE"/>
    <w:rsid w:val="006D52E5"/>
    <w:rsid w:val="006E719A"/>
    <w:rsid w:val="00710074"/>
    <w:rsid w:val="0074371D"/>
    <w:rsid w:val="0075523E"/>
    <w:rsid w:val="007721A8"/>
    <w:rsid w:val="007810F0"/>
    <w:rsid w:val="007A4379"/>
    <w:rsid w:val="007E340E"/>
    <w:rsid w:val="008214A6"/>
    <w:rsid w:val="00825415"/>
    <w:rsid w:val="008574B9"/>
    <w:rsid w:val="00857D19"/>
    <w:rsid w:val="00865CB6"/>
    <w:rsid w:val="008809CF"/>
    <w:rsid w:val="008B6E7A"/>
    <w:rsid w:val="008B7B8F"/>
    <w:rsid w:val="008C60BF"/>
    <w:rsid w:val="00902937"/>
    <w:rsid w:val="00903EFA"/>
    <w:rsid w:val="00910F81"/>
    <w:rsid w:val="00920BD9"/>
    <w:rsid w:val="009565E1"/>
    <w:rsid w:val="00983CBB"/>
    <w:rsid w:val="0098738D"/>
    <w:rsid w:val="00994DF6"/>
    <w:rsid w:val="009A2D1E"/>
    <w:rsid w:val="009A563D"/>
    <w:rsid w:val="009C6F18"/>
    <w:rsid w:val="009D19B6"/>
    <w:rsid w:val="009E0772"/>
    <w:rsid w:val="00A04CDD"/>
    <w:rsid w:val="00A22DF6"/>
    <w:rsid w:val="00A24C6D"/>
    <w:rsid w:val="00A2508A"/>
    <w:rsid w:val="00A358A3"/>
    <w:rsid w:val="00A412AD"/>
    <w:rsid w:val="00A47C81"/>
    <w:rsid w:val="00A94567"/>
    <w:rsid w:val="00AA59F2"/>
    <w:rsid w:val="00AB0B9F"/>
    <w:rsid w:val="00AE08C6"/>
    <w:rsid w:val="00AF2409"/>
    <w:rsid w:val="00B3212F"/>
    <w:rsid w:val="00B51EDE"/>
    <w:rsid w:val="00B618B3"/>
    <w:rsid w:val="00B80F65"/>
    <w:rsid w:val="00B90776"/>
    <w:rsid w:val="00BA04F8"/>
    <w:rsid w:val="00BC552F"/>
    <w:rsid w:val="00C30E78"/>
    <w:rsid w:val="00C66D8C"/>
    <w:rsid w:val="00C73E84"/>
    <w:rsid w:val="00CD3A57"/>
    <w:rsid w:val="00CD3AEB"/>
    <w:rsid w:val="00CE1F1E"/>
    <w:rsid w:val="00D6752C"/>
    <w:rsid w:val="00D73A6C"/>
    <w:rsid w:val="00D80A7E"/>
    <w:rsid w:val="00D82A84"/>
    <w:rsid w:val="00D83711"/>
    <w:rsid w:val="00D866C0"/>
    <w:rsid w:val="00DD5813"/>
    <w:rsid w:val="00DD7D4A"/>
    <w:rsid w:val="00DF7ECC"/>
    <w:rsid w:val="00E069C6"/>
    <w:rsid w:val="00E40752"/>
    <w:rsid w:val="00E60A68"/>
    <w:rsid w:val="00E77EAD"/>
    <w:rsid w:val="00E80E08"/>
    <w:rsid w:val="00EB683B"/>
    <w:rsid w:val="00EE4323"/>
    <w:rsid w:val="00F011A1"/>
    <w:rsid w:val="00F165AE"/>
    <w:rsid w:val="00F17019"/>
    <w:rsid w:val="00F341F2"/>
    <w:rsid w:val="00F344B4"/>
    <w:rsid w:val="00F346F5"/>
    <w:rsid w:val="00F513FC"/>
    <w:rsid w:val="00F594CE"/>
    <w:rsid w:val="00F6434D"/>
    <w:rsid w:val="0116F032"/>
    <w:rsid w:val="034E0380"/>
    <w:rsid w:val="0373ED4B"/>
    <w:rsid w:val="03953F9C"/>
    <w:rsid w:val="03CD25CF"/>
    <w:rsid w:val="03FDFE74"/>
    <w:rsid w:val="040E15EE"/>
    <w:rsid w:val="042D3590"/>
    <w:rsid w:val="04C750F9"/>
    <w:rsid w:val="050FBDAC"/>
    <w:rsid w:val="05310FFD"/>
    <w:rsid w:val="05B08445"/>
    <w:rsid w:val="05FC6A86"/>
    <w:rsid w:val="06113285"/>
    <w:rsid w:val="061F7491"/>
    <w:rsid w:val="067C56F1"/>
    <w:rsid w:val="0764D652"/>
    <w:rsid w:val="076CC3D8"/>
    <w:rsid w:val="078628A3"/>
    <w:rsid w:val="07A05BBF"/>
    <w:rsid w:val="0843AFD7"/>
    <w:rsid w:val="09C1DC7E"/>
    <w:rsid w:val="0A048120"/>
    <w:rsid w:val="0AA4649A"/>
    <w:rsid w:val="0BA05181"/>
    <w:rsid w:val="0C1927D3"/>
    <w:rsid w:val="0C6AE6AC"/>
    <w:rsid w:val="0C860AF5"/>
    <w:rsid w:val="0D3C21E2"/>
    <w:rsid w:val="0DB4F834"/>
    <w:rsid w:val="0E954DA1"/>
    <w:rsid w:val="0F193687"/>
    <w:rsid w:val="10527053"/>
    <w:rsid w:val="10F84B05"/>
    <w:rsid w:val="11CCEE63"/>
    <w:rsid w:val="11CF6C24"/>
    <w:rsid w:val="120F9305"/>
    <w:rsid w:val="12886957"/>
    <w:rsid w:val="1368BEC4"/>
    <w:rsid w:val="136C14D0"/>
    <w:rsid w:val="141C4C32"/>
    <w:rsid w:val="15C00A19"/>
    <w:rsid w:val="15DF29BB"/>
    <w:rsid w:val="168F2C9A"/>
    <w:rsid w:val="16985826"/>
    <w:rsid w:val="17626A32"/>
    <w:rsid w:val="187ED489"/>
    <w:rsid w:val="19062B5A"/>
    <w:rsid w:val="19CBDAF7"/>
    <w:rsid w:val="1A1EDE86"/>
    <w:rsid w:val="1A8B8DB6"/>
    <w:rsid w:val="1A937B3C"/>
    <w:rsid w:val="1AB8093B"/>
    <w:rsid w:val="1AB89B45"/>
    <w:rsid w:val="1ACF1947"/>
    <w:rsid w:val="1C2F4B9D"/>
    <w:rsid w:val="1CA24AB8"/>
    <w:rsid w:val="1D03BB1D"/>
    <w:rsid w:val="1DF22926"/>
    <w:rsid w:val="1E0363FD"/>
    <w:rsid w:val="1ECCC3BC"/>
    <w:rsid w:val="1EFF394C"/>
    <w:rsid w:val="1F66EC5F"/>
    <w:rsid w:val="1FD9EB7A"/>
    <w:rsid w:val="2102BCC0"/>
    <w:rsid w:val="2207BA8A"/>
    <w:rsid w:val="2276ABAD"/>
    <w:rsid w:val="22969F9B"/>
    <w:rsid w:val="229E8D21"/>
    <w:rsid w:val="22A6127A"/>
    <w:rsid w:val="22C59A49"/>
    <w:rsid w:val="22FC83F4"/>
    <w:rsid w:val="233CA941"/>
    <w:rsid w:val="23A7DC0F"/>
    <w:rsid w:val="24326FFC"/>
    <w:rsid w:val="243A5D82"/>
    <w:rsid w:val="24616AAA"/>
    <w:rsid w:val="246774F6"/>
    <w:rsid w:val="249ACAED"/>
    <w:rsid w:val="259F18C9"/>
    <w:rsid w:val="25D62DE3"/>
    <w:rsid w:val="25FD3B0B"/>
    <w:rsid w:val="26A9F7ED"/>
    <w:rsid w:val="271FF0F5"/>
    <w:rsid w:val="279473F2"/>
    <w:rsid w:val="27D82500"/>
    <w:rsid w:val="2894F853"/>
    <w:rsid w:val="28E06A08"/>
    <w:rsid w:val="2A0F7663"/>
    <w:rsid w:val="2AD5A098"/>
    <w:rsid w:val="2B7C0FA8"/>
    <w:rsid w:val="2BE427F7"/>
    <w:rsid w:val="2E084CF0"/>
    <w:rsid w:val="2E5B4609"/>
    <w:rsid w:val="2ECC98C4"/>
    <w:rsid w:val="2EEFA2CF"/>
    <w:rsid w:val="2EFC4C51"/>
    <w:rsid w:val="2F0439D7"/>
    <w:rsid w:val="2F5389AA"/>
    <w:rsid w:val="2F659BD7"/>
    <w:rsid w:val="2F8E4B00"/>
    <w:rsid w:val="2FA41D51"/>
    <w:rsid w:val="307EB7E7"/>
    <w:rsid w:val="3110F304"/>
    <w:rsid w:val="32164B0A"/>
    <w:rsid w:val="32B4B0EB"/>
    <w:rsid w:val="32DBBE13"/>
    <w:rsid w:val="3316752F"/>
    <w:rsid w:val="33ED1DBD"/>
    <w:rsid w:val="34778E74"/>
    <w:rsid w:val="34D9376F"/>
    <w:rsid w:val="35C1EE79"/>
    <w:rsid w:val="35EC51AD"/>
    <w:rsid w:val="36135ED5"/>
    <w:rsid w:val="3623B2BD"/>
    <w:rsid w:val="370F4BBC"/>
    <w:rsid w:val="37279CAF"/>
    <w:rsid w:val="377E901B"/>
    <w:rsid w:val="38AF6105"/>
    <w:rsid w:val="39098060"/>
    <w:rsid w:val="39C43A76"/>
    <w:rsid w:val="39D9497F"/>
    <w:rsid w:val="3A8D35A8"/>
    <w:rsid w:val="3A9F9A62"/>
    <w:rsid w:val="3ABFC2D0"/>
    <w:rsid w:val="3AE6CFF8"/>
    <w:rsid w:val="3B6596A2"/>
    <w:rsid w:val="3B7FA02D"/>
    <w:rsid w:val="3BB859AB"/>
    <w:rsid w:val="3C2B7EBA"/>
    <w:rsid w:val="3C53A5AB"/>
    <w:rsid w:val="3C5B9331"/>
    <w:rsid w:val="3DEB4B6F"/>
    <w:rsid w:val="3DEF760C"/>
    <w:rsid w:val="3DF76392"/>
    <w:rsid w:val="3E1BCC3F"/>
    <w:rsid w:val="3E6BD4D6"/>
    <w:rsid w:val="3F15F769"/>
    <w:rsid w:val="3F34E47D"/>
    <w:rsid w:val="3FD3A5E6"/>
    <w:rsid w:val="412716CE"/>
    <w:rsid w:val="41E84C99"/>
    <w:rsid w:val="42C2E72F"/>
    <w:rsid w:val="43A56F4B"/>
    <w:rsid w:val="464B115E"/>
    <w:rsid w:val="493A1639"/>
    <w:rsid w:val="4A14B0CF"/>
    <w:rsid w:val="4AE8F907"/>
    <w:rsid w:val="4B07E61B"/>
    <w:rsid w:val="4B999B5D"/>
    <w:rsid w:val="4CB228EE"/>
    <w:rsid w:val="4CC3F08E"/>
    <w:rsid w:val="4E0D875C"/>
    <w:rsid w:val="4E15B150"/>
    <w:rsid w:val="4E562343"/>
    <w:rsid w:val="4FD83ADB"/>
    <w:rsid w:val="518DC405"/>
    <w:rsid w:val="52A35BC5"/>
    <w:rsid w:val="53C38A05"/>
    <w:rsid w:val="5474DB5A"/>
    <w:rsid w:val="547CC8E0"/>
    <w:rsid w:val="5484F2D4"/>
    <w:rsid w:val="54DE8D24"/>
    <w:rsid w:val="55654841"/>
    <w:rsid w:val="56A10852"/>
    <w:rsid w:val="57BC9396"/>
    <w:rsid w:val="588BAE2C"/>
    <w:rsid w:val="5896F22C"/>
    <w:rsid w:val="589F329A"/>
    <w:rsid w:val="58B05689"/>
    <w:rsid w:val="59503A03"/>
    <w:rsid w:val="595863F7"/>
    <w:rsid w:val="5A2AD499"/>
    <w:rsid w:val="5A643AB5"/>
    <w:rsid w:val="5A6B468C"/>
    <w:rsid w:val="5A7B5E06"/>
    <w:rsid w:val="5A9DD3B4"/>
    <w:rsid w:val="5ABF2605"/>
    <w:rsid w:val="5BA433BD"/>
    <w:rsid w:val="5BF722BA"/>
    <w:rsid w:val="5D670CD5"/>
    <w:rsid w:val="5DD63738"/>
    <w:rsid w:val="5DE3230C"/>
    <w:rsid w:val="5E253A67"/>
    <w:rsid w:val="5E4E4AC8"/>
    <w:rsid w:val="5F738198"/>
    <w:rsid w:val="5FD8E052"/>
    <w:rsid w:val="605332B4"/>
    <w:rsid w:val="609A161D"/>
    <w:rsid w:val="61529616"/>
    <w:rsid w:val="617F8F43"/>
    <w:rsid w:val="62F6C13B"/>
    <w:rsid w:val="63B41FAA"/>
    <w:rsid w:val="63D1B6DF"/>
    <w:rsid w:val="6400EDFB"/>
    <w:rsid w:val="641C8869"/>
    <w:rsid w:val="6502F6DD"/>
    <w:rsid w:val="6575B134"/>
    <w:rsid w:val="6587E634"/>
    <w:rsid w:val="659CBE5C"/>
    <w:rsid w:val="65D5CE04"/>
    <w:rsid w:val="65EF53E2"/>
    <w:rsid w:val="66EEBA59"/>
    <w:rsid w:val="6926AEBE"/>
    <w:rsid w:val="696E87C1"/>
    <w:rsid w:val="6A492257"/>
    <w:rsid w:val="6A6F6217"/>
    <w:rsid w:val="6A702F7F"/>
    <w:rsid w:val="6BD14D2F"/>
    <w:rsid w:val="6C25283D"/>
    <w:rsid w:val="6E06A7F5"/>
    <w:rsid w:val="6E39CEF0"/>
    <w:rsid w:val="6EE1A227"/>
    <w:rsid w:val="6F647881"/>
    <w:rsid w:val="6FDDC945"/>
    <w:rsid w:val="70FA3E37"/>
    <w:rsid w:val="71BA0B99"/>
    <w:rsid w:val="71DB5DEA"/>
    <w:rsid w:val="722DE1A5"/>
    <w:rsid w:val="729C93B5"/>
    <w:rsid w:val="72DDE92F"/>
    <w:rsid w:val="730D4013"/>
    <w:rsid w:val="732E9264"/>
    <w:rsid w:val="73E4BEAA"/>
    <w:rsid w:val="741711C5"/>
    <w:rsid w:val="74661D56"/>
    <w:rsid w:val="74DC2EA5"/>
    <w:rsid w:val="755DACEC"/>
    <w:rsid w:val="7691FAF9"/>
    <w:rsid w:val="76B6BC93"/>
    <w:rsid w:val="7846B205"/>
    <w:rsid w:val="79447F93"/>
    <w:rsid w:val="7984AB8B"/>
    <w:rsid w:val="7A5F4621"/>
    <w:rsid w:val="7B3C55F0"/>
    <w:rsid w:val="7BFB1682"/>
    <w:rsid w:val="7C3DF738"/>
    <w:rsid w:val="7D25FE17"/>
    <w:rsid w:val="7D9ED469"/>
    <w:rsid w:val="7EC1CE78"/>
    <w:rsid w:val="7F32B744"/>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44BE"/>
  <w15:chartTrackingRefBased/>
  <w15:docId w15:val="{122E2885-647B-4434-9BC2-9C5AFA35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46C"/>
    <w:pPr>
      <w:ind w:left="720"/>
      <w:contextualSpacing/>
    </w:pPr>
  </w:style>
  <w:style w:type="character" w:styleId="Hyperlink">
    <w:name w:val="Hyperlink"/>
    <w:basedOn w:val="DefaultParagraphFont"/>
    <w:uiPriority w:val="99"/>
    <w:unhideWhenUsed/>
    <w:rsid w:val="001B346C"/>
    <w:rPr>
      <w:color w:val="0563C1" w:themeColor="hyperlink"/>
      <w:u w:val="single"/>
    </w:rPr>
  </w:style>
  <w:style w:type="table" w:customStyle="1" w:styleId="TableGrid1">
    <w:name w:val="Table Grid1"/>
    <w:basedOn w:val="TableNormal"/>
    <w:next w:val="TableGrid"/>
    <w:uiPriority w:val="39"/>
    <w:qFormat/>
    <w:rsid w:val="008809C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C87"/>
    <w:pPr>
      <w:spacing w:after="0" w:line="240" w:lineRule="auto"/>
    </w:pPr>
  </w:style>
  <w:style w:type="character" w:styleId="CommentReference">
    <w:name w:val="annotation reference"/>
    <w:basedOn w:val="DefaultParagraphFont"/>
    <w:uiPriority w:val="99"/>
    <w:semiHidden/>
    <w:unhideWhenUsed/>
    <w:rsid w:val="008C60BF"/>
    <w:rPr>
      <w:sz w:val="16"/>
      <w:szCs w:val="16"/>
    </w:rPr>
  </w:style>
  <w:style w:type="paragraph" w:styleId="CommentText">
    <w:name w:val="annotation text"/>
    <w:basedOn w:val="Normal"/>
    <w:link w:val="CommentTextChar"/>
    <w:uiPriority w:val="99"/>
    <w:unhideWhenUsed/>
    <w:rsid w:val="008C60BF"/>
    <w:pPr>
      <w:spacing w:line="240" w:lineRule="auto"/>
    </w:pPr>
    <w:rPr>
      <w:sz w:val="20"/>
      <w:szCs w:val="20"/>
    </w:rPr>
  </w:style>
  <w:style w:type="character" w:customStyle="1" w:styleId="CommentTextChar">
    <w:name w:val="Comment Text Char"/>
    <w:basedOn w:val="DefaultParagraphFont"/>
    <w:link w:val="CommentText"/>
    <w:uiPriority w:val="99"/>
    <w:rsid w:val="008C60BF"/>
    <w:rPr>
      <w:sz w:val="20"/>
      <w:szCs w:val="20"/>
    </w:rPr>
  </w:style>
  <w:style w:type="paragraph" w:styleId="CommentSubject">
    <w:name w:val="annotation subject"/>
    <w:basedOn w:val="CommentText"/>
    <w:next w:val="CommentText"/>
    <w:link w:val="CommentSubjectChar"/>
    <w:uiPriority w:val="99"/>
    <w:semiHidden/>
    <w:unhideWhenUsed/>
    <w:rsid w:val="008C60BF"/>
    <w:rPr>
      <w:b/>
      <w:bCs/>
    </w:rPr>
  </w:style>
  <w:style w:type="character" w:customStyle="1" w:styleId="CommentSubjectChar">
    <w:name w:val="Comment Subject Char"/>
    <w:basedOn w:val="CommentTextChar"/>
    <w:link w:val="CommentSubject"/>
    <w:uiPriority w:val="99"/>
    <w:semiHidden/>
    <w:rsid w:val="008C60BF"/>
    <w:rPr>
      <w:b/>
      <w:bCs/>
      <w:sz w:val="20"/>
      <w:szCs w:val="20"/>
    </w:rPr>
  </w:style>
  <w:style w:type="paragraph" w:styleId="Header">
    <w:name w:val="header"/>
    <w:basedOn w:val="Normal"/>
    <w:link w:val="HeaderChar"/>
    <w:uiPriority w:val="99"/>
    <w:unhideWhenUsed/>
    <w:rsid w:val="00DF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ECC"/>
  </w:style>
  <w:style w:type="paragraph" w:styleId="Footer">
    <w:name w:val="footer"/>
    <w:basedOn w:val="Normal"/>
    <w:link w:val="FooterChar"/>
    <w:uiPriority w:val="99"/>
    <w:unhideWhenUsed/>
    <w:rsid w:val="00DF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ECC"/>
  </w:style>
  <w:style w:type="character" w:styleId="Emphasis">
    <w:name w:val="Emphasis"/>
    <w:basedOn w:val="DefaultParagraphFont"/>
    <w:uiPriority w:val="20"/>
    <w:qFormat/>
    <w:rsid w:val="007E34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495">
      <w:bodyDiv w:val="1"/>
      <w:marLeft w:val="0"/>
      <w:marRight w:val="0"/>
      <w:marTop w:val="0"/>
      <w:marBottom w:val="0"/>
      <w:divBdr>
        <w:top w:val="none" w:sz="0" w:space="0" w:color="auto"/>
        <w:left w:val="none" w:sz="0" w:space="0" w:color="auto"/>
        <w:bottom w:val="none" w:sz="0" w:space="0" w:color="auto"/>
        <w:right w:val="none" w:sz="0" w:space="0" w:color="auto"/>
      </w:divBdr>
    </w:div>
    <w:div w:id="20172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ra.org.zm/calculate-pay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aftax.org/ataf-publishes-an-approach-to-taxing-the-digital-econom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ctionaid.org/stories/2020/financing-education"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xsummaries.pwc.com/zambia/corporate/taxes-on-corporate-income" TargetMode="External"/><Relationship Id="rId5" Type="http://schemas.openxmlformats.org/officeDocument/2006/relationships/styles" Target="styles.xml"/><Relationship Id="rId15" Type="http://schemas.openxmlformats.org/officeDocument/2006/relationships/hyperlink" Target="https://actionaid.org/stories/2020/financing-educ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pository.jctr.org.zm/handle/20.500.14274/1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C243474BF88F40B0240AF4BF356C68" ma:contentTypeVersion="8" ma:contentTypeDescription="Create a new document." ma:contentTypeScope="" ma:versionID="3f930a216ba0d7a4c5e58d44bf5321a2">
  <xsd:schema xmlns:xsd="http://www.w3.org/2001/XMLSchema" xmlns:xs="http://www.w3.org/2001/XMLSchema" xmlns:p="http://schemas.microsoft.com/office/2006/metadata/properties" xmlns:ns3="77269286-d3e2-4f4a-a6f8-7f161836f638" targetNamespace="http://schemas.microsoft.com/office/2006/metadata/properties" ma:root="true" ma:fieldsID="c3c95b1fe8a61ab4ff66a994437a0d9d" ns3:_="">
    <xsd:import namespace="77269286-d3e2-4f4a-a6f8-7f161836f6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69286-d3e2-4f4a-a6f8-7f161836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B73DD-6E53-4BFE-AAFD-D23787C66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FF3076-FB01-4545-84A2-B0357D480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69286-d3e2-4f4a-a6f8-7f161836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2BD4A-2FB6-47A6-8835-CC67D41AA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Geofrey Sizala</dc:creator>
  <cp:keywords/>
  <dc:description/>
  <cp:lastModifiedBy>Musonda Kabinga</cp:lastModifiedBy>
  <cp:revision>4</cp:revision>
  <dcterms:created xsi:type="dcterms:W3CDTF">2023-05-31T16:55:00Z</dcterms:created>
  <dcterms:modified xsi:type="dcterms:W3CDTF">2023-06-01T09:16:00Z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0x0101005BC243474BF88F40B0240AF4BF356C68</vt:lpwstr>
  </property>
</Properties>
</file>